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竞争性谈判文件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执法办案管理中心三级等级安全保护设备采购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CGXM-2025-350105-00222[2025]00208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[350105]GYG[TP]2025001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福州市马尾区公安局本级</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福建广誉工程管理有限公司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采购公告/采购邀请书</w:t>
      </w:r>
    </w:p>
    <w:p>
      <w:pPr>
        <w:pStyle w:val="null3"/>
        <w:jc w:val="center"/>
      </w:pPr>
      <w:r>
        <w:rPr>
          <w:rFonts w:ascii="仿宋_GB2312" w:hAnsi="仿宋_GB2312" w:cs="仿宋_GB2312" w:eastAsia="仿宋_GB2312"/>
          <w:b/>
        </w:rPr>
        <w:t>竞争性谈判采购公告</w:t>
      </w:r>
    </w:p>
    <w:p>
      <w:pPr>
        <w:pStyle w:val="null3"/>
        <w:ind w:firstLine="960"/>
        <w:jc w:val="both"/>
      </w:pPr>
      <w:r>
        <w:rPr>
          <w:rFonts w:ascii="仿宋_GB2312" w:hAnsi="仿宋_GB2312" w:cs="仿宋_GB2312" w:eastAsia="仿宋_GB2312"/>
        </w:rPr>
        <w:t>福州市马尾区公安局本级</w:t>
      </w:r>
      <w:r>
        <w:rPr>
          <w:rFonts w:ascii="仿宋_GB2312" w:hAnsi="仿宋_GB2312" w:cs="仿宋_GB2312" w:eastAsia="仿宋_GB2312"/>
        </w:rPr>
        <w:t xml:space="preserve"> 已根据政府采购相关法律法规，经相应程序确定采用 竞争性谈判 方式组织 </w:t>
      </w:r>
      <w:r>
        <w:rPr>
          <w:rFonts w:ascii="仿宋_GB2312" w:hAnsi="仿宋_GB2312" w:cs="仿宋_GB2312" w:eastAsia="仿宋_GB2312"/>
        </w:rPr>
        <w:t>执法办案管理中心三级等级安全保护设备采购</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福建广誉工程管理有限公司</w:t>
      </w:r>
      <w:r>
        <w:rPr>
          <w:rFonts w:ascii="仿宋_GB2312" w:hAnsi="仿宋_GB2312" w:cs="仿宋_GB2312" w:eastAsia="仿宋_GB2312"/>
        </w:rPr>
        <w:t xml:space="preserve"> 开展竞争性谈判活动。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执法办案管理中心三级等级安全保护设备采购</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CGXM-2025-350105-00222[2025]00208</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[350105]GYG[TP]2025001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480"/>
        <w:jc w:val="both"/>
      </w:pPr>
      <w:r>
        <w:rPr>
          <w:rFonts w:ascii="仿宋_GB2312" w:hAnsi="仿宋_GB2312" w:cs="仿宋_GB2312" w:eastAsia="仿宋_GB2312"/>
        </w:rPr>
        <w:t>采购包1：</w:t>
      </w:r>
    </w:p>
    <w:p>
      <w:pPr>
        <w:pStyle w:val="null3"/>
        <w:jc w:val="both"/>
      </w:pPr>
      <w:r>
        <w:rPr>
          <w:rFonts w:ascii="仿宋_GB2312" w:hAnsi="仿宋_GB2312" w:cs="仿宋_GB2312" w:eastAsia="仿宋_GB2312"/>
        </w:rPr>
        <w:t>采购包预算金额（元）: 978,225.00</w:t>
      </w:r>
    </w:p>
    <w:p>
      <w:pPr>
        <w:pStyle w:val="null3"/>
        <w:jc w:val="both"/>
      </w:pPr>
      <w:r>
        <w:rPr>
          <w:rFonts w:ascii="仿宋_GB2312" w:hAnsi="仿宋_GB2312" w:cs="仿宋_GB2312" w:eastAsia="仿宋_GB2312"/>
        </w:rPr>
        <w:t>采购包最高限价（元）: 978,225.00</w:t>
      </w:r>
    </w:p>
    <w:p>
      <w:pPr>
        <w:pStyle w:val="null3"/>
        <w:jc w:val="both"/>
      </w:pPr>
      <w:r>
        <w:rPr>
          <w:rFonts w:ascii="仿宋_GB2312" w:hAnsi="仿宋_GB2312" w:cs="仿宋_GB2312" w:eastAsia="仿宋_GB2312"/>
        </w:rPr>
        <w:t>采购包保证金金额（元）: 9,782.25</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rFonts w:ascii="仿宋_GB2312" w:hAnsi="仿宋_GB2312" w:cs="仿宋_GB2312" w:eastAsia="仿宋_GB2312"/>
              </w:rPr>
              <w:t>序号</w:t>
            </w:r>
          </w:p>
        </w:tc>
        <w:tc>
          <w:tcPr>
            <w:tcW w:type="dxa" w:w="1187"/>
          </w:tcPr>
          <w:p>
            <w:pPr>
              <w:pStyle w:val="null3"/>
              <w:jc w:val="both"/>
            </w:pPr>
            <w:r>
              <w:rPr>
                <w:rFonts w:ascii="仿宋_GB2312" w:hAnsi="仿宋_GB2312" w:cs="仿宋_GB2312" w:eastAsia="仿宋_GB2312"/>
              </w:rPr>
              <w:t>标的名称</w:t>
            </w:r>
          </w:p>
        </w:tc>
        <w:tc>
          <w:tcPr>
            <w:tcW w:type="dxa" w:w="1187"/>
          </w:tcPr>
          <w:p>
            <w:pPr>
              <w:pStyle w:val="null3"/>
              <w:jc w:val="both"/>
            </w:pPr>
            <w:r>
              <w:rPr>
                <w:rFonts w:ascii="仿宋_GB2312" w:hAnsi="仿宋_GB2312" w:cs="仿宋_GB2312" w:eastAsia="仿宋_GB2312"/>
              </w:rPr>
              <w:t>数量</w:t>
            </w:r>
          </w:p>
        </w:tc>
        <w:tc>
          <w:tcPr>
            <w:tcW w:type="dxa" w:w="1187"/>
          </w:tcPr>
          <w:p>
            <w:pPr>
              <w:pStyle w:val="null3"/>
              <w:jc w:val="both"/>
            </w:pPr>
            <w:r>
              <w:rPr>
                <w:rFonts w:ascii="仿宋_GB2312" w:hAnsi="仿宋_GB2312" w:cs="仿宋_GB2312" w:eastAsia="仿宋_GB2312"/>
              </w:rPr>
              <w:t>标的金额 （元）</w:t>
            </w:r>
          </w:p>
        </w:tc>
        <w:tc>
          <w:tcPr>
            <w:tcW w:type="dxa" w:w="1187"/>
          </w:tcPr>
          <w:p>
            <w:pPr>
              <w:pStyle w:val="null3"/>
              <w:jc w:val="both"/>
            </w:pPr>
            <w:r>
              <w:rPr>
                <w:rFonts w:ascii="仿宋_GB2312" w:hAnsi="仿宋_GB2312" w:cs="仿宋_GB2312" w:eastAsia="仿宋_GB2312"/>
              </w:rPr>
              <w:t>计量单位</w:t>
            </w:r>
          </w:p>
        </w:tc>
        <w:tc>
          <w:tcPr>
            <w:tcW w:type="dxa" w:w="1187"/>
          </w:tcPr>
          <w:p>
            <w:pPr>
              <w:pStyle w:val="null3"/>
              <w:jc w:val="both"/>
            </w:pPr>
            <w:r>
              <w:rPr>
                <w:rFonts w:ascii="仿宋_GB2312" w:hAnsi="仿宋_GB2312" w:cs="仿宋_GB2312" w:eastAsia="仿宋_GB2312"/>
              </w:rPr>
              <w:t>所属行业</w:t>
            </w:r>
          </w:p>
        </w:tc>
        <w:tc>
          <w:tcPr>
            <w:tcW w:type="dxa" w:w="1187"/>
          </w:tcPr>
          <w:p>
            <w:pPr>
              <w:pStyle w:val="null3"/>
              <w:jc w:val="both"/>
            </w:pPr>
            <w:r>
              <w:rPr>
                <w:rFonts w:ascii="仿宋_GB2312" w:hAnsi="仿宋_GB2312" w:cs="仿宋_GB2312" w:eastAsia="仿宋_GB2312"/>
              </w:rPr>
              <w:t>是否允许进口产品</w:t>
            </w:r>
          </w:p>
        </w:tc>
      </w:tr>
      <w:tr>
        <w:tc>
          <w:tcPr>
            <w:tcW w:type="dxa" w:w="1187"/>
          </w:tcPr>
          <w:p>
            <w:pPr>
              <w:pStyle w:val="null3"/>
              <w:jc w:val="both"/>
            </w:pPr>
            <w:r>
              <w:rPr>
                <w:rFonts w:ascii="仿宋_GB2312" w:hAnsi="仿宋_GB2312" w:cs="仿宋_GB2312" w:eastAsia="仿宋_GB2312"/>
              </w:rPr>
              <w:t>1</w:t>
            </w:r>
          </w:p>
        </w:tc>
        <w:tc>
          <w:tcPr>
            <w:tcW w:type="dxa" w:w="1187"/>
          </w:tcPr>
          <w:p>
            <w:pPr>
              <w:pStyle w:val="null3"/>
              <w:jc w:val="both"/>
            </w:pPr>
            <w:r>
              <w:rPr>
                <w:rFonts w:ascii="仿宋_GB2312" w:hAnsi="仿宋_GB2312" w:cs="仿宋_GB2312" w:eastAsia="仿宋_GB2312"/>
              </w:rPr>
              <w:t>防火墙</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220,000.00</w:t>
            </w:r>
          </w:p>
        </w:tc>
        <w:tc>
          <w:tcPr>
            <w:tcW w:type="dxa" w:w="1187"/>
          </w:tcPr>
          <w:p>
            <w:pPr>
              <w:pStyle w:val="null3"/>
              <w:jc w:val="both"/>
            </w:pPr>
            <w:r>
              <w:rPr>
                <w:rFonts w:ascii="仿宋_GB2312" w:hAnsi="仿宋_GB2312" w:cs="仿宋_GB2312" w:eastAsia="仿宋_GB2312"/>
              </w:rPr>
              <w:t>台</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r>
        <w:tc>
          <w:tcPr>
            <w:tcW w:type="dxa" w:w="1187"/>
          </w:tcPr>
          <w:p>
            <w:pPr>
              <w:pStyle w:val="null3"/>
              <w:jc w:val="both"/>
            </w:pPr>
            <w:r>
              <w:rPr>
                <w:rFonts w:ascii="仿宋_GB2312" w:hAnsi="仿宋_GB2312" w:cs="仿宋_GB2312" w:eastAsia="仿宋_GB2312"/>
              </w:rPr>
              <w:t>2</w:t>
            </w:r>
          </w:p>
        </w:tc>
        <w:tc>
          <w:tcPr>
            <w:tcW w:type="dxa" w:w="1187"/>
          </w:tcPr>
          <w:p>
            <w:pPr>
              <w:pStyle w:val="null3"/>
              <w:jc w:val="both"/>
            </w:pPr>
            <w:r>
              <w:rPr>
                <w:rFonts w:ascii="仿宋_GB2312" w:hAnsi="仿宋_GB2312" w:cs="仿宋_GB2312" w:eastAsia="仿宋_GB2312"/>
              </w:rPr>
              <w:t>漏洞扫描</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58,000.00</w:t>
            </w:r>
          </w:p>
        </w:tc>
        <w:tc>
          <w:tcPr>
            <w:tcW w:type="dxa" w:w="1187"/>
          </w:tcPr>
          <w:p>
            <w:pPr>
              <w:pStyle w:val="null3"/>
              <w:jc w:val="both"/>
            </w:pPr>
            <w:r>
              <w:rPr>
                <w:rFonts w:ascii="仿宋_GB2312" w:hAnsi="仿宋_GB2312" w:cs="仿宋_GB2312" w:eastAsia="仿宋_GB2312"/>
              </w:rPr>
              <w:t>台</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r>
        <w:tc>
          <w:tcPr>
            <w:tcW w:type="dxa" w:w="1187"/>
          </w:tcPr>
          <w:p>
            <w:pPr>
              <w:pStyle w:val="null3"/>
              <w:jc w:val="both"/>
            </w:pPr>
            <w:r>
              <w:rPr>
                <w:rFonts w:ascii="仿宋_GB2312" w:hAnsi="仿宋_GB2312" w:cs="仿宋_GB2312" w:eastAsia="仿宋_GB2312"/>
              </w:rPr>
              <w:t>3</w:t>
            </w:r>
          </w:p>
        </w:tc>
        <w:tc>
          <w:tcPr>
            <w:tcW w:type="dxa" w:w="1187"/>
          </w:tcPr>
          <w:p>
            <w:pPr>
              <w:pStyle w:val="null3"/>
              <w:jc w:val="both"/>
            </w:pPr>
            <w:r>
              <w:rPr>
                <w:rFonts w:ascii="仿宋_GB2312" w:hAnsi="仿宋_GB2312" w:cs="仿宋_GB2312" w:eastAsia="仿宋_GB2312"/>
              </w:rPr>
              <w:t>数据库审计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69,000.00</w:t>
            </w:r>
          </w:p>
        </w:tc>
        <w:tc>
          <w:tcPr>
            <w:tcW w:type="dxa" w:w="1187"/>
          </w:tcPr>
          <w:p>
            <w:pPr>
              <w:pStyle w:val="null3"/>
              <w:jc w:val="both"/>
            </w:pPr>
            <w:r>
              <w:rPr>
                <w:rFonts w:ascii="仿宋_GB2312" w:hAnsi="仿宋_GB2312" w:cs="仿宋_GB2312" w:eastAsia="仿宋_GB2312"/>
              </w:rPr>
              <w:t>台</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r>
        <w:tc>
          <w:tcPr>
            <w:tcW w:type="dxa" w:w="1187"/>
          </w:tcPr>
          <w:p>
            <w:pPr>
              <w:pStyle w:val="null3"/>
              <w:jc w:val="both"/>
            </w:pPr>
            <w:r>
              <w:rPr>
                <w:rFonts w:ascii="仿宋_GB2312" w:hAnsi="仿宋_GB2312" w:cs="仿宋_GB2312" w:eastAsia="仿宋_GB2312"/>
              </w:rPr>
              <w:t>4</w:t>
            </w:r>
          </w:p>
        </w:tc>
        <w:tc>
          <w:tcPr>
            <w:tcW w:type="dxa" w:w="1187"/>
          </w:tcPr>
          <w:p>
            <w:pPr>
              <w:pStyle w:val="null3"/>
              <w:jc w:val="both"/>
            </w:pPr>
            <w:r>
              <w:rPr>
                <w:rFonts w:ascii="仿宋_GB2312" w:hAnsi="仿宋_GB2312" w:cs="仿宋_GB2312" w:eastAsia="仿宋_GB2312"/>
              </w:rPr>
              <w:t>日志审计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200,000.00</w:t>
            </w:r>
          </w:p>
        </w:tc>
        <w:tc>
          <w:tcPr>
            <w:tcW w:type="dxa" w:w="1187"/>
          </w:tcPr>
          <w:p>
            <w:pPr>
              <w:pStyle w:val="null3"/>
              <w:jc w:val="both"/>
            </w:pPr>
            <w:r>
              <w:rPr>
                <w:rFonts w:ascii="仿宋_GB2312" w:hAnsi="仿宋_GB2312" w:cs="仿宋_GB2312" w:eastAsia="仿宋_GB2312"/>
              </w:rPr>
              <w:t>台</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r>
        <w:tc>
          <w:tcPr>
            <w:tcW w:type="dxa" w:w="1187"/>
          </w:tcPr>
          <w:p>
            <w:pPr>
              <w:pStyle w:val="null3"/>
              <w:jc w:val="both"/>
            </w:pPr>
            <w:r>
              <w:rPr>
                <w:rFonts w:ascii="仿宋_GB2312" w:hAnsi="仿宋_GB2312" w:cs="仿宋_GB2312" w:eastAsia="仿宋_GB2312"/>
              </w:rPr>
              <w:t>5</w:t>
            </w:r>
          </w:p>
        </w:tc>
        <w:tc>
          <w:tcPr>
            <w:tcW w:type="dxa" w:w="1187"/>
          </w:tcPr>
          <w:p>
            <w:pPr>
              <w:pStyle w:val="null3"/>
              <w:jc w:val="both"/>
            </w:pPr>
            <w:r>
              <w:rPr>
                <w:rFonts w:ascii="仿宋_GB2312" w:hAnsi="仿宋_GB2312" w:cs="仿宋_GB2312" w:eastAsia="仿宋_GB2312"/>
              </w:rPr>
              <w:t>堡垒机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38,000.00</w:t>
            </w:r>
          </w:p>
        </w:tc>
        <w:tc>
          <w:tcPr>
            <w:tcW w:type="dxa" w:w="1187"/>
          </w:tcPr>
          <w:p>
            <w:pPr>
              <w:pStyle w:val="null3"/>
              <w:jc w:val="both"/>
            </w:pPr>
            <w:r>
              <w:rPr>
                <w:rFonts w:ascii="仿宋_GB2312" w:hAnsi="仿宋_GB2312" w:cs="仿宋_GB2312" w:eastAsia="仿宋_GB2312"/>
              </w:rPr>
              <w:t>台</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r>
        <w:tc>
          <w:tcPr>
            <w:tcW w:type="dxa" w:w="1187"/>
          </w:tcPr>
          <w:p>
            <w:pPr>
              <w:pStyle w:val="null3"/>
              <w:jc w:val="both"/>
            </w:pPr>
            <w:r>
              <w:rPr>
                <w:rFonts w:ascii="仿宋_GB2312" w:hAnsi="仿宋_GB2312" w:cs="仿宋_GB2312" w:eastAsia="仿宋_GB2312"/>
              </w:rPr>
              <w:t>6</w:t>
            </w:r>
          </w:p>
        </w:tc>
        <w:tc>
          <w:tcPr>
            <w:tcW w:type="dxa" w:w="1187"/>
          </w:tcPr>
          <w:p>
            <w:pPr>
              <w:pStyle w:val="null3"/>
              <w:jc w:val="both"/>
            </w:pPr>
            <w:r>
              <w:rPr>
                <w:rFonts w:ascii="仿宋_GB2312" w:hAnsi="仿宋_GB2312" w:cs="仿宋_GB2312" w:eastAsia="仿宋_GB2312"/>
              </w:rPr>
              <w:t>服务器病毒防护</w:t>
            </w:r>
          </w:p>
        </w:tc>
        <w:tc>
          <w:tcPr>
            <w:tcW w:type="dxa" w:w="1187"/>
          </w:tcPr>
          <w:p>
            <w:pPr>
              <w:pStyle w:val="null3"/>
              <w:jc w:val="right"/>
            </w:pPr>
            <w:r>
              <w:rPr>
                <w:rFonts w:ascii="仿宋_GB2312" w:hAnsi="仿宋_GB2312" w:cs="仿宋_GB2312" w:eastAsia="仿宋_GB2312"/>
              </w:rPr>
              <w:t>5.00</w:t>
            </w:r>
          </w:p>
        </w:tc>
        <w:tc>
          <w:tcPr>
            <w:tcW w:type="dxa" w:w="1187"/>
          </w:tcPr>
          <w:p>
            <w:pPr>
              <w:pStyle w:val="null3"/>
              <w:jc w:val="right"/>
            </w:pPr>
            <w:r>
              <w:rPr>
                <w:rFonts w:ascii="仿宋_GB2312" w:hAnsi="仿宋_GB2312" w:cs="仿宋_GB2312" w:eastAsia="仿宋_GB2312"/>
              </w:rPr>
              <w:t>1,225.00</w:t>
            </w:r>
          </w:p>
        </w:tc>
        <w:tc>
          <w:tcPr>
            <w:tcW w:type="dxa" w:w="1187"/>
          </w:tcPr>
          <w:p>
            <w:pPr>
              <w:pStyle w:val="null3"/>
              <w:jc w:val="both"/>
            </w:pPr>
            <w:r>
              <w:rPr>
                <w:rFonts w:ascii="仿宋_GB2312" w:hAnsi="仿宋_GB2312" w:cs="仿宋_GB2312" w:eastAsia="仿宋_GB2312"/>
              </w:rPr>
              <w:t>套</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r>
        <w:tc>
          <w:tcPr>
            <w:tcW w:type="dxa" w:w="1187"/>
          </w:tcPr>
          <w:p>
            <w:pPr>
              <w:pStyle w:val="null3"/>
              <w:jc w:val="both"/>
            </w:pPr>
            <w:r>
              <w:rPr>
                <w:rFonts w:ascii="仿宋_GB2312" w:hAnsi="仿宋_GB2312" w:cs="仿宋_GB2312" w:eastAsia="仿宋_GB2312"/>
              </w:rPr>
              <w:t>7</w:t>
            </w:r>
          </w:p>
        </w:tc>
        <w:tc>
          <w:tcPr>
            <w:tcW w:type="dxa" w:w="1187"/>
          </w:tcPr>
          <w:p>
            <w:pPr>
              <w:pStyle w:val="null3"/>
              <w:jc w:val="both"/>
            </w:pPr>
            <w:r>
              <w:rPr>
                <w:rFonts w:ascii="仿宋_GB2312" w:hAnsi="仿宋_GB2312" w:cs="仿宋_GB2312" w:eastAsia="仿宋_GB2312"/>
              </w:rPr>
              <w:t>态势感知平台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166,000.00</w:t>
            </w:r>
          </w:p>
        </w:tc>
        <w:tc>
          <w:tcPr>
            <w:tcW w:type="dxa" w:w="1187"/>
          </w:tcPr>
          <w:p>
            <w:pPr>
              <w:pStyle w:val="null3"/>
              <w:jc w:val="both"/>
            </w:pPr>
            <w:r>
              <w:rPr>
                <w:rFonts w:ascii="仿宋_GB2312" w:hAnsi="仿宋_GB2312" w:cs="仿宋_GB2312" w:eastAsia="仿宋_GB2312"/>
              </w:rPr>
              <w:t>台</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r>
        <w:tc>
          <w:tcPr>
            <w:tcW w:type="dxa" w:w="1187"/>
          </w:tcPr>
          <w:p>
            <w:pPr>
              <w:pStyle w:val="null3"/>
              <w:jc w:val="both"/>
            </w:pPr>
            <w:r>
              <w:rPr>
                <w:rFonts w:ascii="仿宋_GB2312" w:hAnsi="仿宋_GB2312" w:cs="仿宋_GB2312" w:eastAsia="仿宋_GB2312"/>
              </w:rPr>
              <w:t>8</w:t>
            </w:r>
          </w:p>
        </w:tc>
        <w:tc>
          <w:tcPr>
            <w:tcW w:type="dxa" w:w="1187"/>
          </w:tcPr>
          <w:p>
            <w:pPr>
              <w:pStyle w:val="null3"/>
              <w:jc w:val="both"/>
            </w:pPr>
            <w:r>
              <w:rPr>
                <w:rFonts w:ascii="仿宋_GB2312" w:hAnsi="仿宋_GB2312" w:cs="仿宋_GB2312" w:eastAsia="仿宋_GB2312"/>
              </w:rPr>
              <w:t>流量探针</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126,000.00</w:t>
            </w:r>
          </w:p>
        </w:tc>
        <w:tc>
          <w:tcPr>
            <w:tcW w:type="dxa" w:w="1187"/>
          </w:tcPr>
          <w:p>
            <w:pPr>
              <w:pStyle w:val="null3"/>
              <w:jc w:val="both"/>
            </w:pPr>
            <w:r>
              <w:rPr>
                <w:rFonts w:ascii="仿宋_GB2312" w:hAnsi="仿宋_GB2312" w:cs="仿宋_GB2312" w:eastAsia="仿宋_GB2312"/>
              </w:rPr>
              <w:t>台</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r>
        <w:tc>
          <w:tcPr>
            <w:tcW w:type="dxa" w:w="1187"/>
          </w:tcPr>
          <w:p>
            <w:pPr>
              <w:pStyle w:val="null3"/>
              <w:jc w:val="both"/>
            </w:pPr>
            <w:r>
              <w:rPr>
                <w:rFonts w:ascii="仿宋_GB2312" w:hAnsi="仿宋_GB2312" w:cs="仿宋_GB2312" w:eastAsia="仿宋_GB2312"/>
              </w:rPr>
              <w:t>9</w:t>
            </w:r>
          </w:p>
        </w:tc>
        <w:tc>
          <w:tcPr>
            <w:tcW w:type="dxa" w:w="1187"/>
          </w:tcPr>
          <w:p>
            <w:pPr>
              <w:pStyle w:val="null3"/>
              <w:jc w:val="both"/>
            </w:pPr>
            <w:r>
              <w:rPr>
                <w:rFonts w:ascii="仿宋_GB2312" w:hAnsi="仿宋_GB2312" w:cs="仿宋_GB2312" w:eastAsia="仿宋_GB2312"/>
              </w:rPr>
              <w:t>准入系统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100,000.00</w:t>
            </w:r>
          </w:p>
        </w:tc>
        <w:tc>
          <w:tcPr>
            <w:tcW w:type="dxa" w:w="1187"/>
          </w:tcPr>
          <w:p>
            <w:pPr>
              <w:pStyle w:val="null3"/>
              <w:jc w:val="both"/>
            </w:pPr>
            <w:r>
              <w:rPr>
                <w:rFonts w:ascii="仿宋_GB2312" w:hAnsi="仿宋_GB2312" w:cs="仿宋_GB2312" w:eastAsia="仿宋_GB2312"/>
              </w:rPr>
              <w:t>批</w:t>
            </w:r>
          </w:p>
        </w:tc>
        <w:tc>
          <w:tcPr>
            <w:tcW w:type="dxa" w:w="1187"/>
          </w:tcPr>
          <w:p>
            <w:pPr>
              <w:pStyle w:val="null3"/>
              <w:jc w:val="both"/>
            </w:pPr>
            <w:r>
              <w:rPr>
                <w:rFonts w:ascii="仿宋_GB2312" w:hAnsi="仿宋_GB2312" w:cs="仿宋_GB2312" w:eastAsia="仿宋_GB2312"/>
              </w:rPr>
              <w:t>工业</w:t>
            </w:r>
          </w:p>
        </w:tc>
        <w:tc>
          <w:tcPr>
            <w:tcW w:type="dxa" w:w="1187"/>
          </w:tcPr>
          <w:p>
            <w:pPr>
              <w:pStyle w:val="null3"/>
              <w:jc w:val="both"/>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防火墙</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漏洞扫描</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数据库审计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日志审计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堡垒机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服务器病毒防护</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1,225.00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态势感知平台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流量探针</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准入系统</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防火墙</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防火墙</w:t>
            </w:r>
          </w:p>
        </w:tc>
        <w:tc>
          <w:tcPr>
            <w:tcW w:type="dxa" w:w="2076"/>
          </w:tcPr>
          <w:p>
            <w:pPr>
              <w:pStyle w:val="null3"/>
              <w:jc w:val="left"/>
            </w:pPr>
            <w:r>
              <w:rPr>
                <w:rFonts w:ascii="仿宋_GB2312" w:hAnsi="仿宋_GB2312" w:cs="仿宋_GB2312" w:eastAsia="仿宋_GB2312"/>
              </w:rPr>
              <w:t>防火墙</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漏洞扫描</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漏洞扫描</w:t>
            </w:r>
          </w:p>
        </w:tc>
        <w:tc>
          <w:tcPr>
            <w:tcW w:type="dxa" w:w="2076"/>
          </w:tcPr>
          <w:p>
            <w:pPr>
              <w:pStyle w:val="null3"/>
              <w:jc w:val="left"/>
            </w:pPr>
            <w:r>
              <w:rPr>
                <w:rFonts w:ascii="仿宋_GB2312" w:hAnsi="仿宋_GB2312" w:cs="仿宋_GB2312" w:eastAsia="仿宋_GB2312"/>
              </w:rPr>
              <w:t>漏洞扫描</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数据库审计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数据库审计</w:t>
            </w:r>
          </w:p>
        </w:tc>
        <w:tc>
          <w:tcPr>
            <w:tcW w:type="dxa" w:w="2076"/>
          </w:tcPr>
          <w:p>
            <w:pPr>
              <w:pStyle w:val="null3"/>
              <w:jc w:val="left"/>
            </w:pPr>
            <w:r>
              <w:rPr>
                <w:rFonts w:ascii="仿宋_GB2312" w:hAnsi="仿宋_GB2312" w:cs="仿宋_GB2312" w:eastAsia="仿宋_GB2312"/>
              </w:rPr>
              <w:t>数据库审计</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69,000.00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日志审计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日志审计</w:t>
            </w:r>
          </w:p>
        </w:tc>
        <w:tc>
          <w:tcPr>
            <w:tcW w:type="dxa" w:w="2076"/>
          </w:tcPr>
          <w:p>
            <w:pPr>
              <w:pStyle w:val="null3"/>
              <w:jc w:val="left"/>
            </w:pPr>
            <w:r>
              <w:rPr>
                <w:rFonts w:ascii="仿宋_GB2312" w:hAnsi="仿宋_GB2312" w:cs="仿宋_GB2312" w:eastAsia="仿宋_GB2312"/>
              </w:rPr>
              <w:t>日志审计</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堡垒机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堡垒机</w:t>
            </w:r>
          </w:p>
        </w:tc>
        <w:tc>
          <w:tcPr>
            <w:tcW w:type="dxa" w:w="2076"/>
          </w:tcPr>
          <w:p>
            <w:pPr>
              <w:pStyle w:val="null3"/>
              <w:jc w:val="left"/>
            </w:pPr>
            <w:r>
              <w:rPr>
                <w:rFonts w:ascii="仿宋_GB2312" w:hAnsi="仿宋_GB2312" w:cs="仿宋_GB2312" w:eastAsia="仿宋_GB2312"/>
              </w:rPr>
              <w:t>堡垒机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服务器病毒防护</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服务器病毒防护</w:t>
            </w:r>
          </w:p>
        </w:tc>
        <w:tc>
          <w:tcPr>
            <w:tcW w:type="dxa" w:w="2076"/>
          </w:tcPr>
          <w:p>
            <w:pPr>
              <w:pStyle w:val="null3"/>
              <w:jc w:val="left"/>
            </w:pPr>
            <w:r>
              <w:rPr>
                <w:rFonts w:ascii="仿宋_GB2312" w:hAnsi="仿宋_GB2312" w:cs="仿宋_GB2312" w:eastAsia="仿宋_GB2312"/>
              </w:rPr>
              <w:t>服务器病毒防护</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1,225.00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态势感知平台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态势感知平台</w:t>
            </w:r>
          </w:p>
        </w:tc>
        <w:tc>
          <w:tcPr>
            <w:tcW w:type="dxa" w:w="2076"/>
          </w:tcPr>
          <w:p>
            <w:pPr>
              <w:pStyle w:val="null3"/>
              <w:jc w:val="left"/>
            </w:pPr>
            <w:r>
              <w:rPr>
                <w:rFonts w:ascii="仿宋_GB2312" w:hAnsi="仿宋_GB2312" w:cs="仿宋_GB2312" w:eastAsia="仿宋_GB2312"/>
              </w:rPr>
              <w:t>态势感知平台</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166,000.00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流量探针</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流量探针</w:t>
            </w:r>
          </w:p>
        </w:tc>
        <w:tc>
          <w:tcPr>
            <w:tcW w:type="dxa" w:w="2076"/>
          </w:tcPr>
          <w:p>
            <w:pPr>
              <w:pStyle w:val="null3"/>
              <w:jc w:val="left"/>
            </w:pPr>
            <w:r>
              <w:rPr>
                <w:rFonts w:ascii="仿宋_GB2312" w:hAnsi="仿宋_GB2312" w:cs="仿宋_GB2312" w:eastAsia="仿宋_GB2312"/>
              </w:rPr>
              <w:t>流量探针</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126,000.00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准入系统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准入系统</w:t>
            </w:r>
          </w:p>
        </w:tc>
        <w:tc>
          <w:tcPr>
            <w:tcW w:type="dxa" w:w="2076"/>
          </w:tcPr>
          <w:p>
            <w:pPr>
              <w:pStyle w:val="null3"/>
              <w:jc w:val="left"/>
            </w:pPr>
            <w:r>
              <w:rPr>
                <w:rFonts w:ascii="仿宋_GB2312" w:hAnsi="仿宋_GB2312" w:cs="仿宋_GB2312" w:eastAsia="仿宋_GB2312"/>
              </w:rPr>
              <w:t>准入系统</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480"/>
        <w:jc w:val="both"/>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480"/>
        <w:jc w:val="both"/>
      </w:pPr>
      <w:r>
        <w:rPr>
          <w:rFonts w:ascii="仿宋_GB2312" w:hAnsi="仿宋_GB2312" w:cs="仿宋_GB2312" w:eastAsia="仿宋_GB2312"/>
        </w:rPr>
        <w:t>节能产品：</w:t>
      </w:r>
      <w:r>
        <w:rPr>
          <w:rFonts w:ascii="仿宋_GB2312" w:hAnsi="仿宋_GB2312" w:cs="仿宋_GB2312" w:eastAsia="仿宋_GB2312"/>
        </w:rPr>
        <w:t>适用，按照财政部《关于印发节能产品政府采购品目清单》（财库〔2019〕19号）或最新公布的品目清单执行</w:t>
      </w:r>
    </w:p>
    <w:p>
      <w:pPr>
        <w:pStyle w:val="null3"/>
        <w:ind w:firstLine="480"/>
        <w:jc w:val="both"/>
      </w:pPr>
      <w:r>
        <w:rPr>
          <w:rFonts w:ascii="仿宋_GB2312" w:hAnsi="仿宋_GB2312" w:cs="仿宋_GB2312" w:eastAsia="仿宋_GB2312"/>
        </w:rPr>
        <w:t>环境标志产品：</w:t>
      </w:r>
      <w:r>
        <w:rPr>
          <w:rFonts w:ascii="仿宋_GB2312" w:hAnsi="仿宋_GB2312" w:cs="仿宋_GB2312" w:eastAsia="仿宋_GB2312"/>
        </w:rPr>
        <w:t>适用，按照财政部《关于印发环境标志产品政府采购品目清单的通知》（财库〔2019〕18号）或最新公布的品目清单执行。</w:t>
      </w:r>
    </w:p>
    <w:p>
      <w:pPr>
        <w:pStyle w:val="null3"/>
        <w:ind w:firstLine="480"/>
        <w:jc w:val="both"/>
      </w:pPr>
      <w:r>
        <w:rPr>
          <w:rFonts w:ascii="仿宋_GB2312" w:hAnsi="仿宋_GB2312" w:cs="仿宋_GB2312" w:eastAsia="仿宋_GB2312"/>
        </w:rPr>
        <w:t>促进中小企业发展的相关政策：</w:t>
      </w:r>
    </w:p>
    <w:p>
      <w:pPr>
        <w:pStyle w:val="null3"/>
        <w:ind w:firstLine="480"/>
        <w:jc w:val="both"/>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both"/>
      </w:pPr>
      <w:r>
        <w:rPr>
          <w:rFonts w:ascii="仿宋_GB2312" w:hAnsi="仿宋_GB2312" w:cs="仿宋_GB2312" w:eastAsia="仿宋_GB2312"/>
        </w:rPr>
        <w:t>6.1法定条件：符合《中华人民共和国政府采购法》第二十二条第一款规定的条件。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本项目采购标的对应的中小企业划分标准所属行业</w:t>
            </w:r>
          </w:p>
        </w:tc>
        <w:tc>
          <w:tcPr>
            <w:tcW w:type="dxa" w:w="4614"/>
          </w:tcPr>
          <w:p>
            <w:pPr>
              <w:pStyle w:val="null3"/>
              <w:jc w:val="both"/>
            </w:pPr>
            <w:r>
              <w:rPr>
                <w:rFonts w:ascii="仿宋_GB2312" w:hAnsi="仿宋_GB2312" w:cs="仿宋_GB2312" w:eastAsia="仿宋_GB2312"/>
              </w:rPr>
              <w:t>工业</w:t>
            </w:r>
          </w:p>
        </w:tc>
      </w:tr>
    </w:tbl>
    <w:p>
      <w:pPr>
        <w:pStyle w:val="null3"/>
        <w:ind w:firstLine="960"/>
        <w:jc w:val="both"/>
      </w:pPr>
      <w:r>
        <w:rPr>
          <w:rFonts w:ascii="仿宋_GB2312" w:hAnsi="仿宋_GB2312" w:cs="仿宋_GB2312" w:eastAsia="仿宋_GB2312"/>
        </w:rPr>
        <w:t>6.3是否接受联合体形式的响应谈判：</w:t>
      </w:r>
    </w:p>
    <w:p>
      <w:pPr>
        <w:pStyle w:val="null3"/>
        <w:ind w:firstLine="48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b/>
        </w:rPr>
        <w:t>※根据上述资格要求，供应商响应文件中应提交的“资格证明文件”相关规定和资料要求，详见竞争性谈判须知前附表和谈判文件第五章。</w:t>
      </w:r>
    </w:p>
    <w:p>
      <w:pPr>
        <w:pStyle w:val="null3"/>
        <w:ind w:firstLine="480"/>
        <w:jc w:val="left"/>
        <w:outlineLvl w:val="2"/>
      </w:pPr>
      <w:r>
        <w:rPr>
          <w:rFonts w:ascii="仿宋_GB2312" w:hAnsi="仿宋_GB2312" w:cs="仿宋_GB2312" w:eastAsia="仿宋_GB2312"/>
          <w:sz w:val="28"/>
          <w:b/>
        </w:rPr>
        <w:t>7.竞争性谈判文件获取期限：</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960"/>
        <w:jc w:val="both"/>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960"/>
        <w:jc w:val="both"/>
      </w:pPr>
      <w:r>
        <w:rPr>
          <w:rFonts w:ascii="仿宋_GB2312" w:hAnsi="仿宋_GB2312" w:cs="仿宋_GB2312" w:eastAsia="仿宋_GB2312"/>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960"/>
        <w:jc w:val="both"/>
      </w:pPr>
      <w:r>
        <w:rPr>
          <w:rFonts w:ascii="仿宋_GB2312" w:hAnsi="仿宋_GB2312" w:cs="仿宋_GB2312" w:eastAsia="仿宋_GB2312"/>
        </w:rPr>
        <w:t>8.1采购文件的提供期限：详见谈判公告或更正公告（若有），若不一致，以更正公告（若有）为准。</w:t>
      </w:r>
    </w:p>
    <w:p>
      <w:pPr>
        <w:pStyle w:val="null3"/>
        <w:ind w:firstLine="960"/>
        <w:jc w:val="both"/>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11.谈判时间及地点：</w:t>
      </w:r>
    </w:p>
    <w:p>
      <w:pPr>
        <w:pStyle w:val="null3"/>
        <w:ind w:firstLine="480"/>
        <w:jc w:val="left"/>
      </w:pPr>
      <w:r>
        <w:rPr>
          <w:rFonts w:ascii="仿宋_GB2312" w:hAnsi="仿宋_GB2312" w:cs="仿宋_GB2312" w:eastAsia="仿宋_GB2312"/>
        </w:rPr>
        <w:t>详见谈判公告或更正公告（若有），若不一致，以更正公告（若有）为准。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12.竞争性谈判公告期限：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福州市马尾区公安局本级</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福州市马尾区魁岐协洲路6号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0591-83686776</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福建广誉工程管理有限公司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金山街道仓山万达广场C区3号楼15层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黄凌云、郑丽丽、翁晶</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88032000</w:t>
      </w:r>
    </w:p>
    <w:p>
      <w:pPr>
        <w:pStyle w:val="null3"/>
        <w:ind w:firstLine="480"/>
        <w:jc w:val="left"/>
        <w:outlineLvl w:val="2"/>
      </w:pPr>
      <w:r>
        <w:rPr>
          <w:rFonts w:ascii="仿宋_GB2312" w:hAnsi="仿宋_GB2312" w:cs="仿宋_GB2312" w:eastAsia="仿宋_GB2312"/>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福建广誉工程管理有限公司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竞争性谈判须知</w:t>
      </w:r>
    </w:p>
    <w:p>
      <w:pPr>
        <w:pStyle w:val="null3"/>
        <w:jc w:val="center"/>
        <w:outlineLvl w:val="2"/>
      </w:pPr>
      <w:r>
        <w:rPr>
          <w:rFonts w:ascii="仿宋_GB2312" w:hAnsi="仿宋_GB2312" w:cs="仿宋_GB2312" w:eastAsia="仿宋_GB2312"/>
          <w:sz w:val="28"/>
          <w:b/>
        </w:rPr>
        <w:t>第1节 竞争性谈判须知前附表（表1、表2）</w:t>
      </w:r>
    </w:p>
    <w:p>
      <w:pPr>
        <w:pStyle w:val="null3"/>
        <w:jc w:val="center"/>
      </w:pPr>
      <w:r>
        <w:rPr>
          <w:rFonts w:ascii="仿宋_GB2312" w:hAnsi="仿宋_GB2312" w:cs="仿宋_GB2312" w:eastAsia="仿宋_GB2312"/>
          <w:b/>
        </w:rPr>
        <w:t>一、竞争性谈判须知前附表1</w:t>
      </w:r>
    </w:p>
    <w:p>
      <w:pPr>
        <w:pStyle w:val="null3"/>
        <w:ind w:firstLine="480"/>
        <w:jc w:val="both"/>
      </w:pPr>
      <w:r>
        <w:rPr>
          <w:rFonts w:ascii="仿宋_GB2312" w:hAnsi="仿宋_GB2312" w:cs="仿宋_GB2312" w:eastAsia="仿宋_GB2312"/>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供应商的资格要求：见谈判文件第一章“采购公告/采购邀请书”</w:t>
            </w:r>
          </w:p>
          <w:p>
            <w:pPr>
              <w:pStyle w:val="null3"/>
              <w:jc w:val="left"/>
            </w:pPr>
            <w:r>
              <w:rPr>
                <w:rFonts w:ascii="仿宋_GB2312" w:hAnsi="仿宋_GB2312" w:cs="仿宋_GB2312" w:eastAsia="仿宋_GB2312"/>
              </w:rPr>
              <w:t>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谈判响应声明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rFonts w:ascii="仿宋_GB2312" w:hAnsi="仿宋_GB2312" w:cs="仿宋_GB2312" w:eastAsia="仿宋_GB2312"/>
              </w:rPr>
              <w:t>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本项目采购标的对应的中小企业划分标准所属行业</w:t>
                  </w:r>
                </w:p>
              </w:tc>
              <w:tc>
                <w:tcPr>
                  <w:tcW w:type="dxa" w:w="1418"/>
                </w:tcPr>
                <w:p>
                  <w:pPr>
                    <w:pStyle w:val="null3"/>
                    <w:jc w:val="left"/>
                  </w:pPr>
                  <w:r>
                    <w:rPr>
                      <w:rFonts w:ascii="仿宋_GB2312" w:hAnsi="仿宋_GB2312" w:cs="仿宋_GB2312" w:eastAsia="仿宋_GB2312"/>
                    </w:rPr>
                    <w:t>工业</w:t>
                  </w:r>
                </w:p>
              </w:tc>
            </w:tr>
          </w:tbl>
          <w:p>
            <w:pPr>
              <w:pStyle w:val="null3"/>
              <w:jc w:val="left"/>
            </w:pPr>
            <w:r>
              <w:rPr>
                <w:rFonts w:ascii="仿宋_GB2312" w:hAnsi="仿宋_GB2312" w:cs="仿宋_GB2312" w:eastAsia="仿宋_GB2312"/>
              </w:rPr>
              <w:t>（3）谈判保证金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①供应商应根据自身实际情况提供上述资格要求的证明材料，格式可参考谈判文件第五章提供。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是否接受联合体形式的响应谈判：详见第一章供应商的资格要求的6.3</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谈判保证金退还的其它要求：</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（2）电子响应文件：详见表2《关于电子竞争性谈判活动的专门规定》</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谈判过程中可能发生实质性变动的内容：</w:t>
            </w:r>
          </w:p>
          <w:p>
            <w:pPr>
              <w:pStyle w:val="null3"/>
              <w:jc w:val="left"/>
            </w:pPr>
            <w:r>
              <w:rPr>
                <w:rFonts w:ascii="仿宋_GB2312" w:hAnsi="仿宋_GB2312" w:cs="仿宋_GB2312" w:eastAsia="仿宋_GB2312"/>
              </w:rPr>
              <w:t>在谈判过程中，谈判小组可以根据谈判文件和谈判情况实质性变动采购需求中的技术、服务要求以及合同草案条款，但不得变动谈判文件中的其他内容。</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福州市马尾区财政局</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代理服务费收费标准：①以成交通知书规定的成交总金额作为收费的计算基数。②费率计算如下：100万元以内按照1.5%收取， 100万-500万按照1.1%，（2）招标代理服务费收取方式：成交人应在领取成交通知书的同时按规定的标准一次性向采购代理机构缴清招标代理服务费。招标代理服务费以银行转账、电汇、汇票或现金等付款方式。（3）招标代理服务费缴交银行账号：开户名：福建广誉工程管理有限公司；开户行：中国建设银行股份有限公司福州南江滨支行；账号：35050188630000000183。</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本项目采购公告中合同包预算价为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 供应商应以包括本项目所涉及的所有费用进行报价（报价包括现场搬运或上架及运输等伴随服务、税金等一切相关费用），请潜在供应商酌情报价。 2. 供应商必须对其响应文件中提供各种资料、说明的真实性负责。在评标过程中，如有发现，供应商有为谋取成交而提供虚假资料欺骗采购人和谈判小组的行为，将取消其成交资格，其投标保证金将不予退还。若在中标/成交后和执行合同过程中发现其提供虚假资料的将取消其中标资格，给采购人造成损失的，还必须进行赔偿并负相关责任。评标过程中无论是否有对原件进行核实，供应商都必须对其提供各种资料、说明的真实性负责。 3.质疑与投诉 3.1质疑 3.1.1 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 根据《中华人民共和国政府采购法实施条例》第五十三条规定：政府采购法第五十二条规定的供 应商应知其权益受到损害之日，是指： (1)对可以质疑的采购文件提出质疑的，为收到采购文件之日； (2)对采购过程提出质疑的，为各采购程序环节结束之日； (3)对中标或者成交结果提出质疑的，为中标或者成交结果公告期限届满之日。3.1.2 供 应商在法定质疑期内须一次性提出针对同一采购程序环节的质疑。3.1.3 接收质疑函的方式、联系部门、联系电话和通讯地址 (1)接收质疑函的方式：现场方式； (2)接收质疑函的联系部门：办公室； (3)接收质疑函的联系电话：0591-88032000； (4)接收质疑函的通讯地址：福州市仓山区金山街道仓山万达广场C区3号楼15层福建广誉工程管理有限公司。 4.谈判小组将会对各供应商的价格合理性进行评估，根据《政府采购货物和服务招标投标管理办法》(财政部令第87号)第六十条的规定要求供应商在评标现场合理的时间内（接到通知的半小时内）提供书面说明，必要时还应要求其一并提交有关证明材料；供应商不能证明其报价合理性的，谈判小组应将其作为响应无效处理。建议供应商提前评估其报价的合理性，提早准备相应材料，以便出现上述情形时能在规定时间内提供。 5.无效响应及废标条款：以下为可能导致无效投标的条款，具体内容详见竞争性谈判文件各章节，请各供应商认真查看对照。(1)响应报价不符合供应商须知前附表第9项号26条款（2）-1规定的。 (2)不符合投标人须知前附表第9项号26条款（2）-2规定的。 (3)出现“评标方法和标准”无效投标规定的。 (4)出现第二章供应商须知无效投标规定的。 (5)出现第三章采购内容及要求无效投标规定的。 (6)明显不符合技术和服务要求的为无效响应。 (7)内容不全或关键字迹模糊、无法辨认的为无效响应。</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bl>
    <w:p>
      <w:pPr>
        <w:pStyle w:val="null3"/>
        <w:jc w:val="center"/>
      </w:pPr>
      <w:r>
        <w:rPr>
          <w:rFonts w:ascii="仿宋_GB2312" w:hAnsi="仿宋_GB2312" w:cs="仿宋_GB2312" w:eastAsia="仿宋_GB2312"/>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关于电子竞争性谈判活动的专门规定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（1）电子竞争性谈判活动的专门规定适用于本项目。</w:t>
            </w:r>
          </w:p>
          <w:p>
            <w:pPr>
              <w:pStyle w:val="null3"/>
              <w:jc w:val="left"/>
            </w:pPr>
            <w:r>
              <w:rPr>
                <w:rFonts w:ascii="仿宋_GB2312" w:hAnsi="仿宋_GB2312" w:cs="仿宋_GB2312" w:eastAsia="仿宋_GB2312"/>
              </w:rPr>
              <w:t>（2）将谈判文件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后适用本项目的电子竞争性谈判活动。</w:t>
            </w:r>
          </w:p>
          <w:p>
            <w:pPr>
              <w:pStyle w:val="null3"/>
              <w:jc w:val="left"/>
            </w:pPr>
            <w:r>
              <w:rPr>
                <w:rFonts w:ascii="仿宋_GB2312" w:hAnsi="仿宋_GB2312" w:cs="仿宋_GB2312" w:eastAsia="仿宋_GB2312"/>
              </w:rPr>
              <w:t>（3）将下列内容增列为谈判文件的组成部分（以下简称：“增列内容”）适用本项目的电子竞争性谈判活动，若增列内容与谈判文件其他章节内容不一致，应以增列内容为准：</w:t>
            </w:r>
          </w:p>
          <w:p>
            <w:pPr>
              <w:pStyle w:val="null3"/>
              <w:jc w:val="left"/>
            </w:pPr>
            <w:r>
              <w:rPr>
                <w:rFonts w:ascii="仿宋_GB2312" w:hAnsi="仿宋_GB2312" w:cs="仿宋_GB2312" w:eastAsia="仿宋_GB2312"/>
              </w:rPr>
              <w:t>①电子竞争性谈判活动的具体操作流程以福建省政府采购网上公开信息系统设定的为准。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⑤供应商应按照福建省政府采购网上公开信息系统要求的评审节点编制电子响应文件，否则谈判小组将按照不利于供应商的内容进行认定。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rFonts w:ascii="仿宋_GB2312" w:hAnsi="仿宋_GB2312" w:cs="仿宋_GB2312" w:eastAsia="仿宋_GB2312"/>
              </w:rPr>
              <w:t>⑨参加谈判活动的供应商代表务必携带供应商的CA证书。供应商的CA证书应能正常、有效使用，否则产生不利后果由供应商承担责任。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rFonts w:ascii="仿宋_GB2312" w:hAnsi="仿宋_GB2312" w:cs="仿宋_GB2312" w:eastAsia="仿宋_GB2312"/>
              </w:rPr>
              <w:t>有下列情形之一的，供应商的响应无效，其保证金不予退还或通过保函进行索赔：</w:t>
            </w:r>
          </w:p>
          <w:p>
            <w:pPr>
              <w:pStyle w:val="null3"/>
              <w:jc w:val="left"/>
            </w:pPr>
            <w:r>
              <w:rPr>
                <w:rFonts w:ascii="仿宋_GB2312" w:hAnsi="仿宋_GB2312" w:cs="仿宋_GB2312" w:eastAsia="仿宋_GB2312"/>
              </w:rPr>
              <w:t>b1不同供应商的电子响应文件具有相同内部识别码；</w:t>
            </w:r>
          </w:p>
          <w:p>
            <w:pPr>
              <w:pStyle w:val="null3"/>
              <w:jc w:val="left"/>
            </w:pPr>
            <w:r>
              <w:rPr>
                <w:rFonts w:ascii="仿宋_GB2312" w:hAnsi="仿宋_GB2312" w:cs="仿宋_GB2312" w:eastAsia="仿宋_GB2312"/>
              </w:rPr>
              <w:t>b2不同供应商的报价保证金从同一单位或个人的账户转出；</w:t>
            </w:r>
          </w:p>
          <w:p>
            <w:pPr>
              <w:pStyle w:val="null3"/>
              <w:jc w:val="left"/>
            </w:pPr>
            <w:r>
              <w:rPr>
                <w:rFonts w:ascii="仿宋_GB2312" w:hAnsi="仿宋_GB2312" w:cs="仿宋_GB2312" w:eastAsia="仿宋_GB2312"/>
              </w:rPr>
              <w:t>b3供应商的报价保证金同一合同项下有其他供应商提交的报价保证金。</w:t>
            </w:r>
          </w:p>
          <w:p>
            <w:pPr>
              <w:pStyle w:val="null3"/>
              <w:jc w:val="left"/>
            </w:pPr>
            <w:r>
              <w:rPr>
                <w:rFonts w:ascii="仿宋_GB2312" w:hAnsi="仿宋_GB2312" w:cs="仿宋_GB2312" w:eastAsia="仿宋_GB2312"/>
              </w:rPr>
              <w:t>⑪其他：</w:t>
            </w:r>
          </w:p>
          <w:p>
            <w:pPr>
              <w:pStyle w:val="null3"/>
              <w:jc w:val="left"/>
            </w:pPr>
            <w:r>
              <w:rPr>
                <w:rFonts w:ascii="仿宋_GB2312" w:hAnsi="仿宋_GB2312" w:cs="仿宋_GB2312" w:eastAsia="仿宋_GB2312"/>
              </w:rPr>
              <w:t>a.①本项目支持远程开标，投标人可通过远程线上参与开标，具体系统操作指南详见福建省政府采购网首页上相关操作手册。②本项目开标过程中解密操作时限为20分钟及远程签章的操作时限为10分钟，请投标人务必密切关注实时开标流程，完成远程解密、远程签章。③投标人应确保自身设施、设备、网络环境状况良好，在开标过程中因投标人自身原因未在规定的操作时间内完成响应文件的解密，逾期未解密的，视为自行放弃投标。投标人未在规定的操作时间内完成远程签章的，视为默认开标结果。④在开标过程中，因系统故障等导致无法继续进行开标的，投标人须配合等待故障处理，待故障解除后继续开标。 b.在电子响应文件中，涉及“全称”、“单位负责人签字或盖章”和“投标人代表签字”的内容可使用打字录入方式完成。 c.在电子响应文件中，若投标人在电子响应文件中涉及“加盖单位公章”的内容使用投标人的CA证书完成，加盖其单位公章，则出现无全称、或无单位负责人签字（或盖章）或投标人代表未签字等情形，不视为投标无效。 d.中标（成交）人在领取中标（成交）通知书时，应将投标（响应）文件另行打印一至二份给代理机构（具体数量以代理机构要求为准）。提供的纸质响应文件应为中标（成交）人最后上传至福建省政府采购网的电子投标（响应）文件（盖有中标（成交）人电子印章）的打印件；提供的纸质响应文件应双面打印并胶装成册，封面应加盖中标（成交）人公章（红章）和骑缝章。 e.本项目执行《关于福建省财政厅关于电子化政府采购项目中视为串标情形认定与处理的指导意见》（闽财购〔2018〕30号）规定。以上内容竞争性谈判文件与此处要不一致的以此处要求为准。</w:t>
            </w:r>
          </w:p>
          <w:p>
            <w:pPr>
              <w:pStyle w:val="null3"/>
              <w:jc w:val="left"/>
            </w:pPr>
            <w:r>
              <w:rPr>
                <w:rFonts w:ascii="仿宋_GB2312" w:hAnsi="仿宋_GB2312" w:cs="仿宋_GB2312" w:eastAsia="仿宋_GB2312"/>
              </w:rPr>
              <w:t>（与电子竞争性谈判活动有关的其他规定或补充内容可在此处填写）。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评定成交的标准和方法</w:t>
      </w:r>
    </w:p>
    <w:p>
      <w:pPr>
        <w:pStyle w:val="null3"/>
        <w:jc w:val="center"/>
        <w:outlineLvl w:val="2"/>
      </w:pPr>
      <w:r>
        <w:rPr>
          <w:rFonts w:ascii="仿宋_GB2312" w:hAnsi="仿宋_GB2312" w:cs="仿宋_GB2312" w:eastAsia="仿宋_GB2312"/>
          <w:sz w:val="28"/>
          <w:b/>
        </w:rPr>
        <w:t>一、谈判小组</w:t>
      </w:r>
    </w:p>
    <w:p>
      <w:pPr>
        <w:pStyle w:val="null3"/>
        <w:ind w:firstLine="480"/>
        <w:jc w:val="both"/>
      </w:pPr>
      <w:r>
        <w:rPr>
          <w:rFonts w:ascii="仿宋_GB2312" w:hAnsi="仿宋_GB2312" w:cs="仿宋_GB2312" w:eastAsia="仿宋_GB2312"/>
        </w:rPr>
        <w:t>1.1采购人根据项目的特点依法组建谈判小组。</w:t>
      </w:r>
    </w:p>
    <w:p>
      <w:pPr>
        <w:pStyle w:val="null3"/>
        <w:ind w:firstLine="480"/>
        <w:jc w:val="both"/>
      </w:pPr>
      <w:r>
        <w:rPr>
          <w:rFonts w:ascii="仿宋_GB2312" w:hAnsi="仿宋_GB2312" w:cs="仿宋_GB2312" w:eastAsia="仿宋_GB2312"/>
        </w:rPr>
        <w:t>1.2谈判小组</w:t>
      </w:r>
    </w:p>
    <w:p>
      <w:pPr>
        <w:pStyle w:val="null3"/>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达到公开招标数额标准的货物或者服务采购项目，或者达到招标规模标准的政府采购工程，竞争性谈判小组应当由5人或以上单数组成。</w:t>
      </w:r>
    </w:p>
    <w:p>
      <w:pPr>
        <w:pStyle w:val="null3"/>
        <w:ind w:firstLine="480"/>
        <w:jc w:val="both"/>
      </w:pPr>
      <w:r>
        <w:rPr>
          <w:rFonts w:ascii="仿宋_GB2312" w:hAnsi="仿宋_GB2312" w:cs="仿宋_GB2312" w:eastAsia="仿宋_GB2312"/>
        </w:rPr>
        <w:t>1.3谈判小组负责具体谈判和评审事务，并按照下列原则依法独立履行有关职责：</w:t>
      </w:r>
    </w:p>
    <w:p>
      <w:pPr>
        <w:pStyle w:val="null3"/>
        <w:ind w:firstLine="960"/>
        <w:jc w:val="both"/>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1.3.2评审应遵循公平、公正、科学、严谨和择优原则。</w:t>
      </w:r>
    </w:p>
    <w:p>
      <w:pPr>
        <w:pStyle w:val="null3"/>
        <w:ind w:firstLine="960"/>
        <w:jc w:val="both"/>
      </w:pPr>
      <w:r>
        <w:rPr>
          <w:rFonts w:ascii="仿宋_GB2312" w:hAnsi="仿宋_GB2312" w:cs="仿宋_GB2312" w:eastAsia="仿宋_GB2312"/>
        </w:rPr>
        <w:t>1.3.3评审的依据是谈判文件和响应文件，谈判文件中没有规定的评审标准不得作为评审依据。</w:t>
      </w:r>
    </w:p>
    <w:p>
      <w:pPr>
        <w:pStyle w:val="null3"/>
        <w:ind w:firstLine="960"/>
        <w:jc w:val="both"/>
      </w:pPr>
      <w:r>
        <w:rPr>
          <w:rFonts w:ascii="仿宋_GB2312" w:hAnsi="仿宋_GB2312" w:cs="仿宋_GB2312" w:eastAsia="仿宋_GB2312"/>
        </w:rPr>
        <w:t>1.3.4谈判小组应按照谈判文件规定推荐成交候选供应商或根据采购人的授权确定成交供应商。</w:t>
      </w:r>
    </w:p>
    <w:p>
      <w:pPr>
        <w:pStyle w:val="null3"/>
        <w:ind w:firstLine="960"/>
        <w:jc w:val="both"/>
      </w:pPr>
      <w:r>
        <w:rPr>
          <w:rFonts w:ascii="仿宋_GB2312" w:hAnsi="仿宋_GB2312" w:cs="仿宋_GB2312" w:eastAsia="仿宋_GB2312"/>
        </w:rPr>
        <w:t>1.3.5评审应遵守下列评审纪律：</w:t>
      </w:r>
    </w:p>
    <w:p>
      <w:pPr>
        <w:pStyle w:val="null3"/>
        <w:ind w:firstLine="960"/>
        <w:jc w:val="both"/>
      </w:pPr>
      <w:r>
        <w:rPr>
          <w:rFonts w:ascii="仿宋_GB2312" w:hAnsi="仿宋_GB2312" w:cs="仿宋_GB2312" w:eastAsia="仿宋_GB2312"/>
        </w:rPr>
        <w:t>①评审情况不得私自外泄，有关信息由采购人或其委托的代理机构统一对外发布。</w:t>
      </w:r>
    </w:p>
    <w:p>
      <w:pPr>
        <w:pStyle w:val="null3"/>
        <w:ind w:firstLine="960"/>
        <w:jc w:val="both"/>
      </w:pPr>
      <w:r>
        <w:rPr>
          <w:rFonts w:ascii="仿宋_GB2312" w:hAnsi="仿宋_GB2312" w:cs="仿宋_GB2312" w:eastAsia="仿宋_GB2312"/>
        </w:rPr>
        <w:t>②对采购人或供应商提供的要求保密的资料，不得摘记翻印和外传。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④全体谈判小组成员应按照谈判文件规定进行评审，一切认定事项应查有实据且不得弄虚作假。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⑤评审中应充分发扬民主，推荐成交供应商候选人或根据采购人授权确定成交供应商后要服从评审报告。</w:t>
      </w:r>
    </w:p>
    <w:p>
      <w:pPr>
        <w:pStyle w:val="null3"/>
        <w:ind w:firstLine="96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二、谈判程序</w:t>
      </w:r>
    </w:p>
    <w:p>
      <w:pPr>
        <w:pStyle w:val="null3"/>
        <w:ind w:firstLine="480"/>
        <w:jc w:val="both"/>
      </w:pPr>
      <w:r>
        <w:rPr>
          <w:rFonts w:ascii="仿宋_GB2312" w:hAnsi="仿宋_GB2312" w:cs="仿宋_GB2312" w:eastAsia="仿宋_GB2312"/>
        </w:rPr>
        <w:t>2.1谈判程序按照谈判文件第二章第2节“竞争性谈判须知”第14条“谈判程序以及评定成交的标准”的相关条款规定执行。</w:t>
      </w:r>
    </w:p>
    <w:p>
      <w:pPr>
        <w:pStyle w:val="null3"/>
        <w:ind w:firstLine="480"/>
        <w:jc w:val="both"/>
      </w:pPr>
      <w:r>
        <w:rPr>
          <w:rFonts w:ascii="仿宋_GB2312" w:hAnsi="仿宋_GB2312" w:cs="仿宋_GB2312" w:eastAsia="仿宋_GB2312"/>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rFonts w:ascii="仿宋_GB2312" w:hAnsi="仿宋_GB2312" w:cs="仿宋_GB2312" w:eastAsia="仿宋_GB2312"/>
        </w:rPr>
        <w:t>2.3只有资格审查和实质性响应审查均合格且按规定提交最后报价的合格供应商才能参加评定成交的最后价格排序和成交候选人推荐。</w:t>
      </w:r>
    </w:p>
    <w:p>
      <w:pPr>
        <w:pStyle w:val="null3"/>
        <w:jc w:val="center"/>
        <w:outlineLvl w:val="2"/>
      </w:pPr>
      <w:r>
        <w:rPr>
          <w:rFonts w:ascii="仿宋_GB2312" w:hAnsi="仿宋_GB2312" w:cs="仿宋_GB2312" w:eastAsia="仿宋_GB2312"/>
          <w:sz w:val="28"/>
          <w:b/>
        </w:rPr>
        <w:t>三、最低评审价法和成交候选人推荐</w:t>
      </w:r>
    </w:p>
    <w:p>
      <w:pPr>
        <w:pStyle w:val="null3"/>
        <w:ind w:firstLine="480"/>
        <w:jc w:val="both"/>
      </w:pPr>
      <w:r>
        <w:rPr>
          <w:rFonts w:ascii="仿宋_GB2312" w:hAnsi="仿宋_GB2312" w:cs="仿宋_GB2312" w:eastAsia="仿宋_GB2312"/>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rFonts w:ascii="仿宋_GB2312" w:hAnsi="仿宋_GB2312" w:cs="仿宋_GB2312" w:eastAsia="仿宋_GB2312"/>
        </w:rPr>
        <w:t>3.1.1根据财政部及福建省财政厅等有关政府采购文件规定执行价格评审优惠政策，价格扣除规则如下：</w:t>
      </w:r>
    </w:p>
    <w:p>
      <w:pPr>
        <w:pStyle w:val="null3"/>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异常低价审查</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项目</w:t>
            </w:r>
          </w:p>
        </w:tc>
        <w:tc>
          <w:tcPr>
            <w:tcW w:type="dxa" w:w="4153"/>
          </w:tcPr>
          <w:p>
            <w:pPr>
              <w:pStyle w:val="null3"/>
              <w:jc w:val="left"/>
            </w:pPr>
            <w:r>
              <w:rPr>
                <w:rFonts w:ascii="仿宋_GB2312" w:hAnsi="仿宋_GB2312" w:cs="仿宋_GB2312" w:eastAsia="仿宋_GB2312"/>
              </w:rPr>
              <w:t xml:space="preserve"> 描述</w:t>
            </w:r>
          </w:p>
        </w:tc>
      </w:tr>
      <w:tr>
        <w:tc>
          <w:tcPr>
            <w:tcW w:type="dxa" w:w="4153"/>
          </w:tcPr>
          <w:p>
            <w:pPr>
              <w:pStyle w:val="null3"/>
              <w:jc w:val="left"/>
            </w:pPr>
            <w:r>
              <w:rPr>
                <w:rFonts w:ascii="仿宋_GB2312" w:hAnsi="仿宋_GB2312" w:cs="仿宋_GB2312" w:eastAsia="仿宋_GB2312"/>
              </w:rPr>
              <w:t>异常低价审查</w:t>
            </w:r>
          </w:p>
        </w:tc>
        <w:tc>
          <w:tcPr>
            <w:tcW w:type="dxa" w:w="4153"/>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采购包：执法办案管理中心三级等级安全保护设备采购响应报价低于全部通过符合性审查供应商响应报价平均值50%的，即执法办案管理中心三级等级安全保护设备采购响应报价&lt;全部通过符合性审查供应商响应报价平均值×50%。 （2）采购包：执法办案管理中心三级等级安全保护设备采购响应报价低于通过符合性审查且报价次低供应商响应报价50%的，即执法办案管理中心三级等级安全保护设备采购响应报价&lt;通过符合性审查且报价次低供应商响应报价×50%。 （3）采购包：执法办案管理中心三级等级安全保护设备采购响应报价低于最高限价45%的，即执法办案管理中心三级等级安全保护设备采购响应报价&lt;最高限价×45%。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投标人在接到通知的半小时内提供书面说明及有关证明材料，有关证明材料应至少包含以下内容：所有所投产品的单位直接材料成本费用证明材料、人工成本（需结合企业人员数量等）费用证明材料、制造费用（包括但不限于：间接材料成本、设备折旧、厂房租金或折旧、设备的日常维修和维护费用等）证明材料、其他费用（包括但不限于：研发费用、质量控制费用、包装费用等）证明材料、运输与物流成本（包括但不限于：原材料及成品运输费用等）证明材料、管理费用证明材料、税费证明材料； 证明材料1所要求的所有费用汇总分析表；所投产品在其他采购人处或主要电商平台的销售记录（其他采购人处销售记录包括但不限于：销售合同复印件、发票复印件（应与销售合同相对应）、已经该采购人验收合格的证明（应与销售合同相对应）等证明材料；主要电商平台（需注明网页链接）销售记录包括但不限于：平台销售记录、发货记录（应与销售记录相对应）、用户评价记录（应与销售记录相对应）等）。属于首次销售的产品应提供单独的专项声明函，采购人保留中标后核查的权力，如发现声明不实则以提供虚假材料谋取中标论处。 投标人未在合理时间内提供或未完整提供说明及证明材料的视为投标人不能证明其报价合理性。</w:t>
            </w:r>
          </w:p>
        </w:tc>
      </w:tr>
    </w:tbl>
    <w:p>
      <w:pPr>
        <w:pStyle w:val="null3"/>
        <w:jc w:val="left"/>
      </w:pPr>
      <w:r>
        <w:rPr>
          <w:rFonts w:ascii="仿宋_GB2312" w:hAnsi="仿宋_GB2312" w:cs="仿宋_GB2312" w:eastAsia="仿宋_GB2312"/>
        </w:rPr>
        <w:t>评审委员会（评审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jc w:val="left"/>
      </w:pPr>
      <w:r>
        <w:rPr>
          <w:rFonts w:ascii="仿宋_GB2312" w:hAnsi="仿宋_GB2312" w:cs="仿宋_GB2312" w:eastAsia="仿宋_GB2312"/>
        </w:rPr>
        <w:t>评审委员会（评审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jc w:val="left"/>
      </w:pPr>
      <w:r>
        <w:rPr>
          <w:rFonts w:ascii="仿宋_GB2312" w:hAnsi="仿宋_GB2312" w:cs="仿宋_GB2312" w:eastAsia="仿宋_GB2312"/>
        </w:rPr>
        <w:t>响应文件满足谈判文件全部实质性要求，且响应报价最低的供应商为成交候选供应商。</w:t>
      </w:r>
    </w:p>
    <w:p>
      <w:pPr>
        <w:pStyle w:val="null3"/>
        <w:jc w:val="left"/>
      </w:pPr>
      <w:r>
        <w:rPr>
          <w:rFonts w:ascii="仿宋_GB2312" w:hAnsi="仿宋_GB2312" w:cs="仿宋_GB2312" w:eastAsia="仿宋_GB2312"/>
        </w:rPr>
        <w:t>价格扣除的规则如下：</w:t>
      </w:r>
    </w:p>
    <w:p>
      <w:pPr>
        <w:pStyle w:val="null3"/>
        <w:jc w:val="left"/>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※除落实政府采购政策需进行的价格扣除情形外，不能对供应商的报价进行任何调整。</w:t>
      </w:r>
    </w:p>
    <w:p>
      <w:pPr>
        <w:pStyle w:val="null3"/>
        <w:jc w:val="left"/>
      </w:pPr>
      <w:r>
        <w:rPr>
          <w:rFonts w:ascii="仿宋_GB2312" w:hAnsi="仿宋_GB2312" w:cs="仿宋_GB2312" w:eastAsia="仿宋_GB2312"/>
        </w:rPr>
        <w:t>（3）成交候选供应商排列规则顺序如下：</w:t>
      </w:r>
    </w:p>
    <w:p>
      <w:pPr>
        <w:pStyle w:val="null3"/>
        <w:jc w:val="left"/>
      </w:pPr>
      <w:r>
        <w:rPr>
          <w:rFonts w:ascii="仿宋_GB2312" w:hAnsi="仿宋_GB2312" w:cs="仿宋_GB2312" w:eastAsia="仿宋_GB2312"/>
        </w:rPr>
        <w:t>a.按照评审价（即价格扣除后的响应报价）由低到高顺序排列。</w:t>
      </w:r>
    </w:p>
    <w:p>
      <w:pPr>
        <w:pStyle w:val="null3"/>
        <w:jc w:val="left"/>
      </w:pPr>
      <w:r>
        <w:rPr>
          <w:rFonts w:ascii="仿宋_GB2312" w:hAnsi="仿宋_GB2312" w:cs="仿宋_GB2312" w:eastAsia="仿宋_GB2312"/>
        </w:rPr>
        <w:t>b.评审价相同的并列。</w:t>
      </w:r>
    </w:p>
    <w:p>
      <w:pPr>
        <w:pStyle w:val="null3"/>
        <w:ind w:firstLine="960"/>
        <w:jc w:val="both"/>
      </w:pPr>
      <w:r>
        <w:rPr>
          <w:rFonts w:ascii="仿宋_GB2312" w:hAnsi="仿宋_GB2312" w:cs="仿宋_GB2312" w:eastAsia="仿宋_GB2312"/>
        </w:rPr>
        <w:t>c.其他：</w:t>
      </w:r>
    </w:p>
    <w:p>
      <w:pPr>
        <w:pStyle w:val="null3"/>
        <w:jc w:val="both"/>
      </w:pPr>
      <w:r>
        <w:rPr>
          <w:rFonts w:ascii="仿宋_GB2312" w:hAnsi="仿宋_GB2312" w:cs="仿宋_GB2312" w:eastAsia="仿宋_GB2312"/>
        </w:rPr>
        <w:t>/</w:t>
      </w:r>
    </w:p>
    <w:p>
      <w:pPr>
        <w:pStyle w:val="null3"/>
        <w:ind w:firstLine="960"/>
        <w:jc w:val="both"/>
      </w:pPr>
      <w:r>
        <w:rPr>
          <w:rFonts w:ascii="仿宋_GB2312" w:hAnsi="仿宋_GB2312" w:cs="仿宋_GB2312" w:eastAsia="仿宋_GB2312"/>
        </w:rPr>
        <w:t>3.1.2合格供应商提交的最后报价按照上文3.1.1款规定的价格扣除规则计算后，得出的价格称为最后报价评审价。</w:t>
      </w:r>
    </w:p>
    <w:p>
      <w:pPr>
        <w:pStyle w:val="null3"/>
        <w:ind w:firstLine="960"/>
        <w:jc w:val="left"/>
      </w:pPr>
      <w:r>
        <w:rPr>
          <w:rFonts w:ascii="仿宋_GB2312" w:hAnsi="仿宋_GB2312" w:cs="仿宋_GB2312" w:eastAsia="仿宋_GB2312"/>
        </w:rPr>
        <w:t xml:space="preserve">3.1.3 </w:t>
      </w:r>
      <w:r>
        <w:rPr>
          <w:rFonts w:ascii="仿宋_GB2312" w:hAnsi="仿宋_GB2312" w:cs="仿宋_GB2312" w:eastAsia="仿宋_GB2312"/>
        </w:rPr>
        <w:t>谈判小组将从质量和服务均能满足采购文件实质性响应要求的供应商中，按照最后报价评审价由低到高的顺序提出3名以上成交候选人，并编写评审报告。</w:t>
      </w:r>
      <w:r>
        <w:rPr>
          <w:rFonts w:ascii="仿宋_GB2312" w:hAnsi="仿宋_GB2312" w:cs="仿宋_GB2312" w:eastAsia="仿宋_GB2312"/>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rFonts w:ascii="仿宋_GB2312" w:hAnsi="仿宋_GB2312" w:cs="仿宋_GB2312" w:eastAsia="仿宋_GB2312"/>
        </w:rPr>
        <w:t>（1）谈判文件可以约定出现并列最低评审价情形时的优先顺序规则，具体规则为：</w:t>
      </w:r>
    </w:p>
    <w:p>
      <w:pPr>
        <w:pStyle w:val="null3"/>
        <w:jc w:val="left"/>
      </w:pPr>
      <w:r>
        <w:rPr>
          <w:rFonts w:ascii="仿宋_GB2312" w:hAnsi="仿宋_GB2312" w:cs="仿宋_GB2312" w:eastAsia="仿宋_GB2312"/>
        </w:rPr>
        <w:t>/</w:t>
      </w:r>
    </w:p>
    <w:p>
      <w:pPr>
        <w:pStyle w:val="null3"/>
        <w:ind w:firstLine="960"/>
        <w:jc w:val="both"/>
      </w:pPr>
      <w:r>
        <w:rPr>
          <w:rFonts w:ascii="仿宋_GB2312" w:hAnsi="仿宋_GB2312" w:cs="仿宋_GB2312" w:eastAsia="仿宋_GB2312"/>
        </w:rPr>
        <w:t>（2）谈判文件未约定优先顺序规则时，则由谈判小组中的采购人代表从并列最低评审价名单中自行选择确定优先顺序</w:t>
      </w:r>
    </w:p>
    <w:p>
      <w:pPr>
        <w:pStyle w:val="null3"/>
        <w:ind w:firstLine="960"/>
        <w:jc w:val="both"/>
      </w:pPr>
      <w:r>
        <w:rPr>
          <w:rFonts w:ascii="仿宋_GB2312" w:hAnsi="仿宋_GB2312" w:cs="仿宋_GB2312" w:eastAsia="仿宋_GB2312"/>
        </w:rPr>
        <w:t>（3）采购人代表放弃自行选择确定权利的，则通过随机抽取方式确定优先顺序。</w:t>
      </w:r>
    </w:p>
    <w:p>
      <w:pPr>
        <w:pStyle w:val="null3"/>
        <w:jc w:val="center"/>
        <w:outlineLvl w:val="2"/>
      </w:pPr>
      <w:r>
        <w:rPr>
          <w:rFonts w:ascii="仿宋_GB2312" w:hAnsi="仿宋_GB2312" w:cs="仿宋_GB2312" w:eastAsia="仿宋_GB2312"/>
          <w:sz w:val="28"/>
          <w:b/>
        </w:rPr>
        <w:t>四、评审报告</w:t>
      </w:r>
    </w:p>
    <w:p>
      <w:pPr>
        <w:pStyle w:val="null3"/>
        <w:ind w:firstLine="480"/>
        <w:jc w:val="both"/>
      </w:pPr>
      <w:r>
        <w:rPr>
          <w:rFonts w:ascii="仿宋_GB2312" w:hAnsi="仿宋_GB2312" w:cs="仿宋_GB2312" w:eastAsia="仿宋_GB2312"/>
        </w:rPr>
        <w:t>4.1谈判小组完成评审后，应当编写评审报告并提交给采购人。</w:t>
      </w:r>
    </w:p>
    <w:p>
      <w:pPr>
        <w:pStyle w:val="null3"/>
        <w:ind w:firstLine="480"/>
        <w:jc w:val="both"/>
      </w:pPr>
      <w:r>
        <w:rPr>
          <w:rFonts w:ascii="仿宋_GB2312" w:hAnsi="仿宋_GB2312" w:cs="仿宋_GB2312" w:eastAsia="仿宋_GB2312"/>
        </w:rPr>
        <w:t>4.2评审报告应当包括以下主要内容：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（二）评审日期和地点，谈判小组成员名单；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（三）评审情况记录和说明，包括对供应商的资格审查情况、供应商响应文件评审情况、谈判情况、报价情况等；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both"/>
      </w:pPr>
      <w:r>
        <w:rPr>
          <w:rFonts w:ascii="仿宋_GB2312" w:hAnsi="仿宋_GB2312" w:cs="仿宋_GB2312" w:eastAsia="仿宋_GB2312"/>
        </w:rPr>
        <w:t>5.1其他规定</w:t>
      </w:r>
    </w:p>
    <w:p>
      <w:pPr>
        <w:pStyle w:val="null3"/>
        <w:ind w:firstLine="960"/>
        <w:jc w:val="both"/>
      </w:pPr>
      <w:r>
        <w:rPr>
          <w:rFonts w:ascii="仿宋_GB2312" w:hAnsi="仿宋_GB2312" w:cs="仿宋_GB2312" w:eastAsia="仿宋_GB2312"/>
        </w:rPr>
        <w:t>5.1.1评审应全程保密且不得透露给任一供应商或与评审工作无关的人员。</w:t>
      </w:r>
    </w:p>
    <w:p>
      <w:pPr>
        <w:pStyle w:val="null3"/>
        <w:ind w:firstLine="960"/>
        <w:jc w:val="both"/>
      </w:pPr>
      <w:r>
        <w:rPr>
          <w:rFonts w:ascii="仿宋_GB2312" w:hAnsi="仿宋_GB2312" w:cs="仿宋_GB2312" w:eastAsia="仿宋_GB2312"/>
        </w:rPr>
        <w:t>5.1.2评审将进行全程实时录音录像，录音录像资料随采购文件一并存档。</w:t>
      </w:r>
    </w:p>
    <w:p>
      <w:pPr>
        <w:pStyle w:val="null3"/>
        <w:ind w:firstLine="960"/>
        <w:jc w:val="both"/>
      </w:pPr>
      <w:r>
        <w:rPr>
          <w:rFonts w:ascii="仿宋_GB2312" w:hAnsi="仿宋_GB2312" w:cs="仿宋_GB2312" w:eastAsia="仿宋_GB2312"/>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rFonts w:ascii="仿宋_GB2312" w:hAnsi="仿宋_GB2312" w:cs="仿宋_GB2312" w:eastAsia="仿宋_GB2312"/>
        </w:rPr>
        <w:t>5.1.4根据采购项目的特点和需要，需要加以详细说明的其他谈判程序规定、要求等内容：</w:t>
      </w:r>
    </w:p>
    <w:p>
      <w:pPr>
        <w:pStyle w:val="null3"/>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第2节 竞争性谈判须知</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b/>
        </w:rPr>
        <w:t>1.适用范围：</w:t>
      </w:r>
    </w:p>
    <w:p>
      <w:pPr>
        <w:pStyle w:val="null3"/>
        <w:ind w:firstLine="480"/>
        <w:jc w:val="both"/>
      </w:pPr>
      <w:r>
        <w:rPr>
          <w:rFonts w:ascii="仿宋_GB2312" w:hAnsi="仿宋_GB2312" w:cs="仿宋_GB2312" w:eastAsia="仿宋_GB2312"/>
        </w:rPr>
        <w:t>1.1适用于谈判文件载明项目的采购活动（以下简称：“本次采购活动”）。</w:t>
      </w:r>
    </w:p>
    <w:p>
      <w:pPr>
        <w:pStyle w:val="null3"/>
        <w:jc w:val="both"/>
      </w:pPr>
      <w:r>
        <w:rPr>
          <w:rFonts w:ascii="仿宋_GB2312" w:hAnsi="仿宋_GB2312" w:cs="仿宋_GB2312" w:eastAsia="仿宋_GB2312"/>
          <w:b/>
        </w:rPr>
        <w:t>2.定义及要求：</w:t>
      </w:r>
    </w:p>
    <w:p>
      <w:pPr>
        <w:pStyle w:val="null3"/>
        <w:ind w:firstLine="480"/>
        <w:jc w:val="both"/>
      </w:pPr>
      <w:r>
        <w:rPr>
          <w:rFonts w:ascii="仿宋_GB2312" w:hAnsi="仿宋_GB2312" w:cs="仿宋_GB2312" w:eastAsia="仿宋_GB2312"/>
        </w:rPr>
        <w:t>2.1“采购标的”指谈判文件载明的需要采购的货物、服务、工程。</w:t>
      </w:r>
    </w:p>
    <w:p>
      <w:pPr>
        <w:pStyle w:val="null3"/>
        <w:ind w:firstLine="480"/>
        <w:jc w:val="both"/>
      </w:pPr>
      <w:r>
        <w:rPr>
          <w:rFonts w:ascii="仿宋_GB2312" w:hAnsi="仿宋_GB2312" w:cs="仿宋_GB2312" w:eastAsia="仿宋_GB2312"/>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rFonts w:ascii="仿宋_GB2312" w:hAnsi="仿宋_GB2312" w:cs="仿宋_GB2312" w:eastAsia="仿宋_GB2312"/>
        </w:rPr>
        <w:t>2.3“潜在供应商”按照谈判文件第一章规定进行获取文件，且有意向参加本项目响应谈判的供应商。</w:t>
      </w:r>
    </w:p>
    <w:p>
      <w:pPr>
        <w:pStyle w:val="null3"/>
        <w:ind w:firstLine="480"/>
        <w:jc w:val="both"/>
      </w:pPr>
      <w:r>
        <w:rPr>
          <w:rFonts w:ascii="仿宋_GB2312" w:hAnsi="仿宋_GB2312" w:cs="仿宋_GB2312" w:eastAsia="仿宋_GB2312"/>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rFonts w:ascii="仿宋_GB2312" w:hAnsi="仿宋_GB2312" w:cs="仿宋_GB2312" w:eastAsia="仿宋_GB2312"/>
          <w:b/>
        </w:rPr>
        <w:t>3.合格的供应商：</w:t>
      </w:r>
    </w:p>
    <w:p>
      <w:pPr>
        <w:pStyle w:val="null3"/>
        <w:ind w:firstLine="480"/>
        <w:jc w:val="both"/>
      </w:pPr>
      <w:r>
        <w:rPr>
          <w:rFonts w:ascii="仿宋_GB2312" w:hAnsi="仿宋_GB2312" w:cs="仿宋_GB2312" w:eastAsia="仿宋_GB2312"/>
        </w:rPr>
        <w:t>3.1一般规定</w:t>
      </w:r>
    </w:p>
    <w:p>
      <w:pPr>
        <w:pStyle w:val="null3"/>
        <w:ind w:firstLine="960"/>
        <w:jc w:val="both"/>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rFonts w:ascii="仿宋_GB2312" w:hAnsi="仿宋_GB2312" w:cs="仿宋_GB2312" w:eastAsia="仿宋_GB2312"/>
        </w:rPr>
        <w:t>供应商有责任检查自身情况，在响应文件中对是否违反以上一般规定做出如实声明，否则其响应文件将被否决。</w:t>
      </w:r>
    </w:p>
    <w:p>
      <w:pPr>
        <w:pStyle w:val="null3"/>
        <w:ind w:firstLine="480"/>
        <w:jc w:val="both"/>
      </w:pPr>
      <w:r>
        <w:rPr>
          <w:rFonts w:ascii="仿宋_GB2312" w:hAnsi="仿宋_GB2312" w:cs="仿宋_GB2312" w:eastAsia="仿宋_GB2312"/>
        </w:rPr>
        <w:t>3.2特别规定</w:t>
      </w:r>
    </w:p>
    <w:p>
      <w:pPr>
        <w:pStyle w:val="null3"/>
        <w:ind w:firstLine="960"/>
        <w:jc w:val="both"/>
      </w:pPr>
      <w:r>
        <w:rPr>
          <w:rFonts w:ascii="仿宋_GB2312" w:hAnsi="仿宋_GB2312" w:cs="仿宋_GB2312" w:eastAsia="仿宋_GB2312"/>
        </w:rPr>
        <w:t>3.2.1供应商的资格要求：详见竞争性谈判须知前附表第1项。</w:t>
      </w:r>
    </w:p>
    <w:p>
      <w:pPr>
        <w:pStyle w:val="null3"/>
        <w:ind w:firstLine="960"/>
        <w:jc w:val="both"/>
      </w:pPr>
      <w:r>
        <w:rPr>
          <w:rFonts w:ascii="仿宋_GB2312" w:hAnsi="仿宋_GB2312" w:cs="仿宋_GB2312" w:eastAsia="仿宋_GB2312"/>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rFonts w:ascii="仿宋_GB2312" w:hAnsi="仿宋_GB2312" w:cs="仿宋_GB2312" w:eastAsia="仿宋_GB2312"/>
        </w:rPr>
        <w:t>（1）联合体各方应提交联合体协议，联合体协议应符合谈判文件规定。</w:t>
      </w:r>
    </w:p>
    <w:p>
      <w:pPr>
        <w:pStyle w:val="null3"/>
        <w:ind w:firstLine="960"/>
        <w:jc w:val="both"/>
      </w:pPr>
      <w:r>
        <w:rPr>
          <w:rFonts w:ascii="仿宋_GB2312" w:hAnsi="仿宋_GB2312" w:cs="仿宋_GB2312" w:eastAsia="仿宋_GB2312"/>
        </w:rPr>
        <w:t>（2）联合体各方不得再单独参加或与其他供应商另外组成联合体参加同一合同项下的响应谈判。</w:t>
      </w:r>
    </w:p>
    <w:p>
      <w:pPr>
        <w:pStyle w:val="null3"/>
        <w:ind w:firstLine="96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rFonts w:ascii="仿宋_GB2312" w:hAnsi="仿宋_GB2312" w:cs="仿宋_GB2312" w:eastAsia="仿宋_GB2312"/>
        </w:rPr>
        <w:t>（5）联合体一方放弃成交的，视为联合体整体放弃成交，联合体各方承担连带责任。</w:t>
      </w:r>
    </w:p>
    <w:p>
      <w:pPr>
        <w:pStyle w:val="null3"/>
        <w:ind w:firstLine="960"/>
        <w:jc w:val="both"/>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both"/>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rFonts w:ascii="仿宋_GB2312" w:hAnsi="仿宋_GB2312" w:cs="仿宋_GB2312" w:eastAsia="仿宋_GB2312"/>
          <w:b/>
        </w:rPr>
        <w:t>4.参与竞争性谈判费用：</w:t>
      </w:r>
    </w:p>
    <w:p>
      <w:pPr>
        <w:pStyle w:val="null3"/>
        <w:ind w:firstLine="480"/>
        <w:jc w:val="both"/>
      </w:pPr>
      <w:r>
        <w:rPr>
          <w:rFonts w:ascii="仿宋_GB2312" w:hAnsi="仿宋_GB2312" w:cs="仿宋_GB2312" w:eastAsia="仿宋_GB2312"/>
        </w:rPr>
        <w:t>4.1除法律法规或采购文件另有规定之外，供应商应自行承担其准备与参加竞争性谈判所涉及的一切费用。</w:t>
      </w:r>
    </w:p>
    <w:p>
      <w:pPr>
        <w:pStyle w:val="null3"/>
        <w:jc w:val="center"/>
        <w:outlineLvl w:val="2"/>
      </w:pPr>
      <w:r>
        <w:rPr>
          <w:rFonts w:ascii="仿宋_GB2312" w:hAnsi="仿宋_GB2312" w:cs="仿宋_GB2312" w:eastAsia="仿宋_GB2312"/>
          <w:sz w:val="28"/>
          <w:b/>
        </w:rPr>
        <w:t>二、竞争性谈判文件</w:t>
      </w:r>
    </w:p>
    <w:p>
      <w:pPr>
        <w:pStyle w:val="null3"/>
        <w:jc w:val="both"/>
      </w:pPr>
      <w:r>
        <w:rPr>
          <w:rFonts w:ascii="仿宋_GB2312" w:hAnsi="仿宋_GB2312" w:cs="仿宋_GB2312" w:eastAsia="仿宋_GB2312"/>
          <w:b/>
        </w:rPr>
        <w:t>5.竞争性谈判文件的组成：</w:t>
      </w:r>
    </w:p>
    <w:p>
      <w:pPr>
        <w:pStyle w:val="null3"/>
        <w:ind w:firstLine="480"/>
        <w:jc w:val="both"/>
      </w:pPr>
      <w:r>
        <w:rPr>
          <w:rFonts w:ascii="仿宋_GB2312" w:hAnsi="仿宋_GB2312" w:cs="仿宋_GB2312" w:eastAsia="仿宋_GB2312"/>
        </w:rPr>
        <w:t>5.1竞争性谈判文件由下述部分组成：</w:t>
      </w:r>
    </w:p>
    <w:p>
      <w:pPr>
        <w:pStyle w:val="null3"/>
        <w:ind w:firstLine="480"/>
        <w:jc w:val="both"/>
      </w:pPr>
      <w:r>
        <w:rPr>
          <w:rFonts w:ascii="仿宋_GB2312" w:hAnsi="仿宋_GB2312" w:cs="仿宋_GB2312" w:eastAsia="仿宋_GB2312"/>
        </w:rPr>
        <w:t>第一章 采购公告（或采购邀请书）</w:t>
      </w:r>
    </w:p>
    <w:p>
      <w:pPr>
        <w:pStyle w:val="null3"/>
        <w:ind w:firstLine="480"/>
        <w:jc w:val="both"/>
      </w:pPr>
      <w:r>
        <w:rPr>
          <w:rFonts w:ascii="仿宋_GB2312" w:hAnsi="仿宋_GB2312" w:cs="仿宋_GB2312" w:eastAsia="仿宋_GB2312"/>
        </w:rPr>
        <w:t>第二章 竞争性谈判须知</w:t>
      </w:r>
    </w:p>
    <w:p>
      <w:pPr>
        <w:pStyle w:val="null3"/>
        <w:ind w:firstLine="480"/>
        <w:jc w:val="both"/>
      </w:pPr>
      <w:r>
        <w:rPr>
          <w:rFonts w:ascii="仿宋_GB2312" w:hAnsi="仿宋_GB2312" w:cs="仿宋_GB2312" w:eastAsia="仿宋_GB2312"/>
        </w:rPr>
        <w:t>第三章 采购内容及要求</w:t>
      </w:r>
    </w:p>
    <w:p>
      <w:pPr>
        <w:pStyle w:val="null3"/>
        <w:ind w:firstLine="480"/>
        <w:jc w:val="both"/>
      </w:pPr>
      <w:r>
        <w:rPr>
          <w:rFonts w:ascii="仿宋_GB2312" w:hAnsi="仿宋_GB2312" w:cs="仿宋_GB2312" w:eastAsia="仿宋_GB2312"/>
        </w:rPr>
        <w:t>第四章 合同主要条款及格式</w:t>
      </w:r>
    </w:p>
    <w:p>
      <w:pPr>
        <w:pStyle w:val="null3"/>
        <w:ind w:firstLine="480"/>
        <w:jc w:val="both"/>
      </w:pPr>
      <w:r>
        <w:rPr>
          <w:rFonts w:ascii="仿宋_GB2312" w:hAnsi="仿宋_GB2312" w:cs="仿宋_GB2312" w:eastAsia="仿宋_GB2312"/>
        </w:rPr>
        <w:t>第五章 首次响应文件格式</w:t>
      </w:r>
    </w:p>
    <w:p>
      <w:pPr>
        <w:pStyle w:val="null3"/>
        <w:ind w:firstLine="480"/>
        <w:jc w:val="both"/>
      </w:pPr>
      <w:r>
        <w:rPr>
          <w:rFonts w:ascii="仿宋_GB2312" w:hAnsi="仿宋_GB2312" w:cs="仿宋_GB2312" w:eastAsia="仿宋_GB2312"/>
        </w:rPr>
        <w:t>5.2除上述内容以外，采购人、采购代理机构或者谈判小组在采购过程期间对谈判文件所作的澄清、修改或补充，均构成谈判文件的组成部分，对采购人和供应商具有约束力。</w:t>
      </w:r>
    </w:p>
    <w:p>
      <w:pPr>
        <w:pStyle w:val="null3"/>
        <w:jc w:val="both"/>
      </w:pPr>
      <w:r>
        <w:rPr>
          <w:rFonts w:ascii="仿宋_GB2312" w:hAnsi="仿宋_GB2312" w:cs="仿宋_GB2312" w:eastAsia="仿宋_GB2312"/>
          <w:b/>
        </w:rPr>
        <w:t>6.竞争性谈判文件的澄清、补充或修改：</w:t>
      </w:r>
    </w:p>
    <w:p>
      <w:pPr>
        <w:pStyle w:val="null3"/>
        <w:ind w:firstLine="480"/>
        <w:jc w:val="both"/>
      </w:pPr>
      <w:r>
        <w:rPr>
          <w:rFonts w:ascii="仿宋_GB2312" w:hAnsi="仿宋_GB2312" w:cs="仿宋_GB2312" w:eastAsia="仿宋_GB2312"/>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rFonts w:ascii="仿宋_GB2312" w:hAnsi="仿宋_GB2312" w:cs="仿宋_GB2312" w:eastAsia="仿宋_GB2312"/>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rFonts w:ascii="仿宋_GB2312" w:hAnsi="仿宋_GB2312" w:cs="仿宋_GB2312" w:eastAsia="仿宋_GB2312"/>
          <w:sz w:val="28"/>
          <w:b/>
        </w:rPr>
        <w:t>三、响应文件编制</w:t>
      </w:r>
    </w:p>
    <w:p>
      <w:pPr>
        <w:pStyle w:val="null3"/>
        <w:jc w:val="both"/>
      </w:pPr>
      <w:r>
        <w:rPr>
          <w:rFonts w:ascii="仿宋_GB2312" w:hAnsi="仿宋_GB2312" w:cs="仿宋_GB2312" w:eastAsia="仿宋_GB2312"/>
          <w:b/>
        </w:rPr>
        <w:t>7.应标要求</w:t>
      </w:r>
    </w:p>
    <w:p>
      <w:pPr>
        <w:pStyle w:val="null3"/>
        <w:ind w:firstLine="480"/>
        <w:jc w:val="both"/>
      </w:pPr>
      <w:r>
        <w:rPr>
          <w:rFonts w:ascii="仿宋_GB2312" w:hAnsi="仿宋_GB2312" w:cs="仿宋_GB2312" w:eastAsia="仿宋_GB2312"/>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rFonts w:ascii="仿宋_GB2312" w:hAnsi="仿宋_GB2312" w:cs="仿宋_GB2312" w:eastAsia="仿宋_GB2312"/>
        </w:rPr>
        <w:t>7.2供应商代表在同一个合同项下只能接受一个供应商的委托参加响应谈判，否则其响应文件将被否决。</w:t>
      </w:r>
    </w:p>
    <w:p>
      <w:pPr>
        <w:pStyle w:val="null3"/>
        <w:ind w:firstLine="480"/>
        <w:jc w:val="both"/>
      </w:pPr>
      <w:r>
        <w:rPr>
          <w:rFonts w:ascii="仿宋_GB2312" w:hAnsi="仿宋_GB2312" w:cs="仿宋_GB2312" w:eastAsia="仿宋_GB2312"/>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rFonts w:ascii="仿宋_GB2312" w:hAnsi="仿宋_GB2312" w:cs="仿宋_GB2312" w:eastAsia="仿宋_GB2312"/>
        </w:rPr>
        <w:t>7.4除非竞争性谈判须知前附表另有规定外，供应商提供的响应文件应使用中文文本，若有不同文字文本，以中文文本为准。</w:t>
      </w:r>
    </w:p>
    <w:p>
      <w:pPr>
        <w:pStyle w:val="null3"/>
        <w:ind w:firstLine="480"/>
        <w:jc w:val="both"/>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7.6除非竞争性谈判须知前附表另有规定外，供应商承诺的报价应以人民币进行报价，合同实施结算时亦以人民币支付；所有计量均采用中华人民共和国法定计量单位。</w:t>
      </w:r>
    </w:p>
    <w:p>
      <w:pPr>
        <w:pStyle w:val="null3"/>
        <w:jc w:val="both"/>
      </w:pPr>
      <w:r>
        <w:rPr>
          <w:rFonts w:ascii="仿宋_GB2312" w:hAnsi="仿宋_GB2312" w:cs="仿宋_GB2312" w:eastAsia="仿宋_GB2312"/>
          <w:b/>
        </w:rPr>
        <w:t>8.首次响应文件的组成：</w:t>
      </w:r>
    </w:p>
    <w:p>
      <w:pPr>
        <w:pStyle w:val="null3"/>
        <w:ind w:firstLine="480"/>
        <w:jc w:val="both"/>
      </w:pPr>
      <w:r>
        <w:rPr>
          <w:rFonts w:ascii="仿宋_GB2312" w:hAnsi="仿宋_GB2312" w:cs="仿宋_GB2312" w:eastAsia="仿宋_GB2312"/>
        </w:rPr>
        <w:t>8.1首次响应文件包括但不限于下列部分：</w:t>
      </w:r>
    </w:p>
    <w:p>
      <w:pPr>
        <w:pStyle w:val="null3"/>
        <w:ind w:firstLine="480"/>
        <w:jc w:val="both"/>
      </w:pPr>
      <w:r>
        <w:rPr>
          <w:rFonts w:ascii="仿宋_GB2312" w:hAnsi="仿宋_GB2312" w:cs="仿宋_GB2312" w:eastAsia="仿宋_GB2312"/>
        </w:rPr>
        <w:t>（1）谈判响应声明</w:t>
      </w:r>
    </w:p>
    <w:p>
      <w:pPr>
        <w:pStyle w:val="null3"/>
        <w:ind w:firstLine="480"/>
        <w:jc w:val="both"/>
      </w:pPr>
      <w:r>
        <w:rPr>
          <w:rFonts w:ascii="仿宋_GB2312" w:hAnsi="仿宋_GB2312" w:cs="仿宋_GB2312" w:eastAsia="仿宋_GB2312"/>
        </w:rPr>
        <w:t>（2）开标（报价）一览表（含投标（响应）报价明细表）</w:t>
      </w:r>
    </w:p>
    <w:p>
      <w:pPr>
        <w:pStyle w:val="null3"/>
        <w:ind w:firstLine="480"/>
        <w:jc w:val="both"/>
      </w:pPr>
      <w:r>
        <w:rPr>
          <w:rFonts w:ascii="仿宋_GB2312" w:hAnsi="仿宋_GB2312" w:cs="仿宋_GB2312" w:eastAsia="仿宋_GB2312"/>
        </w:rPr>
        <w:t>（3）资格证明文件</w:t>
      </w:r>
    </w:p>
    <w:p>
      <w:pPr>
        <w:pStyle w:val="null3"/>
        <w:ind w:firstLine="480"/>
        <w:jc w:val="both"/>
      </w:pPr>
      <w:r>
        <w:rPr>
          <w:rFonts w:ascii="仿宋_GB2312" w:hAnsi="仿宋_GB2312" w:cs="仿宋_GB2312" w:eastAsia="仿宋_GB2312"/>
        </w:rPr>
        <w:t>（4）谈判保证金凭证</w:t>
      </w:r>
    </w:p>
    <w:p>
      <w:pPr>
        <w:pStyle w:val="null3"/>
        <w:ind w:firstLine="480"/>
        <w:jc w:val="both"/>
      </w:pPr>
      <w:r>
        <w:rPr>
          <w:rFonts w:ascii="仿宋_GB2312" w:hAnsi="仿宋_GB2312" w:cs="仿宋_GB2312" w:eastAsia="仿宋_GB2312"/>
        </w:rPr>
        <w:t>（5）技术和商务偏离表</w:t>
      </w:r>
    </w:p>
    <w:p>
      <w:pPr>
        <w:pStyle w:val="null3"/>
        <w:ind w:firstLine="480"/>
        <w:jc w:val="both"/>
      </w:pPr>
      <w:r>
        <w:rPr>
          <w:rFonts w:ascii="仿宋_GB2312" w:hAnsi="仿宋_GB2312" w:cs="仿宋_GB2312" w:eastAsia="仿宋_GB2312"/>
        </w:rPr>
        <w:t>（6）相关技术、商务、服务响应承诺及资料</w:t>
      </w:r>
    </w:p>
    <w:p>
      <w:pPr>
        <w:pStyle w:val="null3"/>
        <w:ind w:firstLine="480"/>
        <w:jc w:val="both"/>
      </w:pPr>
      <w:r>
        <w:rPr>
          <w:rFonts w:ascii="仿宋_GB2312" w:hAnsi="仿宋_GB2312" w:cs="仿宋_GB2312" w:eastAsia="仿宋_GB2312"/>
        </w:rPr>
        <w:t>（7）供应商提交符合政府采购政策的证明材料</w:t>
      </w:r>
    </w:p>
    <w:p>
      <w:pPr>
        <w:pStyle w:val="null3"/>
        <w:ind w:firstLine="480"/>
        <w:jc w:val="both"/>
      </w:pPr>
      <w:r>
        <w:rPr>
          <w:rFonts w:ascii="仿宋_GB2312" w:hAnsi="仿宋_GB2312" w:cs="仿宋_GB2312" w:eastAsia="仿宋_GB2312"/>
        </w:rPr>
        <w:t>（8）要求作为响应文件组成部分的其他内容（若有）</w:t>
      </w:r>
    </w:p>
    <w:p>
      <w:pPr>
        <w:pStyle w:val="null3"/>
        <w:jc w:val="both"/>
      </w:pPr>
      <w:r>
        <w:rPr>
          <w:rFonts w:ascii="仿宋_GB2312" w:hAnsi="仿宋_GB2312" w:cs="仿宋_GB2312" w:eastAsia="仿宋_GB2312"/>
          <w:b/>
        </w:rPr>
        <w:t>9.响应文件有效期：</w:t>
      </w:r>
    </w:p>
    <w:p>
      <w:pPr>
        <w:pStyle w:val="null3"/>
        <w:ind w:firstLine="480"/>
        <w:jc w:val="both"/>
      </w:pPr>
      <w:r>
        <w:rPr>
          <w:rFonts w:ascii="仿宋_GB2312" w:hAnsi="仿宋_GB2312" w:cs="仿宋_GB2312" w:eastAsia="仿宋_GB2312"/>
        </w:rPr>
        <w:t>9.1响应文件有效期见竞争性谈判须知前附表第3项，响应文件承诺的有效期不得少于谈判文件载明的有效期，否则其响应文件将被否决。</w:t>
      </w:r>
    </w:p>
    <w:p>
      <w:pPr>
        <w:pStyle w:val="null3"/>
        <w:ind w:firstLine="480"/>
        <w:jc w:val="both"/>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rFonts w:ascii="仿宋_GB2312" w:hAnsi="仿宋_GB2312" w:cs="仿宋_GB2312" w:eastAsia="仿宋_GB2312"/>
          <w:b/>
        </w:rPr>
        <w:t>10.谈判保证金：</w:t>
      </w:r>
    </w:p>
    <w:p>
      <w:pPr>
        <w:pStyle w:val="null3"/>
        <w:ind w:firstLine="480"/>
        <w:jc w:val="both"/>
      </w:pPr>
      <w:r>
        <w:rPr>
          <w:rFonts w:ascii="仿宋_GB2312" w:hAnsi="仿宋_GB2312" w:cs="仿宋_GB2312" w:eastAsia="仿宋_GB2312"/>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rFonts w:ascii="仿宋_GB2312" w:hAnsi="仿宋_GB2312" w:cs="仿宋_GB2312" w:eastAsia="仿宋_GB2312"/>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rFonts w:ascii="仿宋_GB2312" w:hAnsi="仿宋_GB2312" w:cs="仿宋_GB2312" w:eastAsia="仿宋_GB2312"/>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10.1.3其他形式：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rFonts w:ascii="仿宋_GB2312" w:hAnsi="仿宋_GB2312" w:cs="仿宋_GB2312" w:eastAsia="仿宋_GB2312"/>
        </w:rPr>
        <w:t>10.3谈判保证金退还：</w:t>
      </w:r>
    </w:p>
    <w:p>
      <w:pPr>
        <w:pStyle w:val="null3"/>
        <w:ind w:firstLine="960"/>
        <w:jc w:val="both"/>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rFonts w:ascii="仿宋_GB2312" w:hAnsi="仿宋_GB2312" w:cs="仿宋_GB2312" w:eastAsia="仿宋_GB2312"/>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rFonts w:ascii="仿宋_GB2312" w:hAnsi="仿宋_GB2312" w:cs="仿宋_GB2312" w:eastAsia="仿宋_GB2312"/>
        </w:rPr>
        <w:t>10.4如果供应商发生以下任何一种情况时，其谈判保证金将被不予退还或通过保函进行索赔：</w:t>
      </w:r>
    </w:p>
    <w:p>
      <w:pPr>
        <w:pStyle w:val="null3"/>
        <w:ind w:firstLine="480"/>
        <w:jc w:val="both"/>
      </w:pPr>
      <w:r>
        <w:rPr>
          <w:rFonts w:ascii="仿宋_GB2312" w:hAnsi="仿宋_GB2312" w:cs="仿宋_GB2312" w:eastAsia="仿宋_GB2312"/>
        </w:rPr>
        <w:t>(1)供应商在提交响应文件截止时间后撤回响应文件的；</w:t>
      </w:r>
    </w:p>
    <w:p>
      <w:pPr>
        <w:pStyle w:val="null3"/>
        <w:ind w:firstLine="480"/>
        <w:jc w:val="both"/>
      </w:pPr>
      <w:r>
        <w:rPr>
          <w:rFonts w:ascii="仿宋_GB2312" w:hAnsi="仿宋_GB2312" w:cs="仿宋_GB2312" w:eastAsia="仿宋_GB2312"/>
        </w:rPr>
        <w:t>(2)供应商在响应文件中提供虚假材料的；</w:t>
      </w:r>
    </w:p>
    <w:p>
      <w:pPr>
        <w:pStyle w:val="null3"/>
        <w:ind w:firstLine="480"/>
        <w:jc w:val="both"/>
      </w:pPr>
      <w:r>
        <w:rPr>
          <w:rFonts w:ascii="仿宋_GB2312" w:hAnsi="仿宋_GB2312" w:cs="仿宋_GB2312" w:eastAsia="仿宋_GB2312"/>
        </w:rPr>
        <w:t>(3)除因不可抗力或谈判文件认可的情形以外，成交供应商不与采购人签订合同的；</w:t>
      </w:r>
    </w:p>
    <w:p>
      <w:pPr>
        <w:pStyle w:val="null3"/>
        <w:ind w:firstLine="480"/>
        <w:jc w:val="both"/>
      </w:pPr>
      <w:r>
        <w:rPr>
          <w:rFonts w:ascii="仿宋_GB2312" w:hAnsi="仿宋_GB2312" w:cs="仿宋_GB2312" w:eastAsia="仿宋_GB2312"/>
        </w:rPr>
        <w:t>(4)供应商与采购人、其他供应商或者采购代理机构恶意串通的；</w:t>
      </w:r>
    </w:p>
    <w:p>
      <w:pPr>
        <w:pStyle w:val="null3"/>
        <w:ind w:firstLine="480"/>
        <w:jc w:val="both"/>
      </w:pPr>
      <w:r>
        <w:rPr>
          <w:rFonts w:ascii="仿宋_GB2312" w:hAnsi="仿宋_GB2312" w:cs="仿宋_GB2312" w:eastAsia="仿宋_GB2312"/>
        </w:rPr>
        <w:t>(5)供应商在提交最后报价后要求退出谈判的；</w:t>
      </w:r>
    </w:p>
    <w:p>
      <w:pPr>
        <w:pStyle w:val="null3"/>
        <w:ind w:firstLine="480"/>
        <w:jc w:val="both"/>
      </w:pPr>
      <w:r>
        <w:rPr>
          <w:rFonts w:ascii="仿宋_GB2312" w:hAnsi="仿宋_GB2312" w:cs="仿宋_GB2312" w:eastAsia="仿宋_GB2312"/>
        </w:rPr>
        <w:t>(6)供应商假借以他人名义参加谈判或者以其他方式弄虚作假，骗取成交；</w:t>
      </w:r>
    </w:p>
    <w:p>
      <w:pPr>
        <w:pStyle w:val="null3"/>
        <w:ind w:firstLine="480"/>
        <w:jc w:val="both"/>
      </w:pPr>
      <w:r>
        <w:rPr>
          <w:rFonts w:ascii="仿宋_GB2312" w:hAnsi="仿宋_GB2312" w:cs="仿宋_GB2312" w:eastAsia="仿宋_GB2312"/>
        </w:rPr>
        <w:t>(7)国家法律法规以及谈判文件中规定的其他谈判保证金不予退还的情形。</w:t>
      </w:r>
    </w:p>
    <w:p>
      <w:pPr>
        <w:pStyle w:val="null3"/>
        <w:ind w:firstLine="480"/>
        <w:jc w:val="both"/>
      </w:pPr>
      <w:r>
        <w:rPr>
          <w:rFonts w:ascii="仿宋_GB2312" w:hAnsi="仿宋_GB2312" w:cs="仿宋_GB2312" w:eastAsia="仿宋_GB2312"/>
        </w:rPr>
        <w:t>上述不予退还谈判保证金的情况不能抵偿给采购人或采购代理机构造成损失的，供应商还要承担赔偿责任。</w:t>
      </w:r>
    </w:p>
    <w:p>
      <w:pPr>
        <w:pStyle w:val="null3"/>
        <w:jc w:val="both"/>
      </w:pPr>
      <w:r>
        <w:rPr>
          <w:rFonts w:ascii="仿宋_GB2312" w:hAnsi="仿宋_GB2312" w:cs="仿宋_GB2312" w:eastAsia="仿宋_GB2312"/>
          <w:b/>
        </w:rPr>
        <w:t>11.纸质响应文件基本编制要求：</w:t>
      </w:r>
    </w:p>
    <w:p>
      <w:pPr>
        <w:pStyle w:val="null3"/>
        <w:ind w:firstLine="480"/>
        <w:jc w:val="both"/>
      </w:pPr>
      <w:r>
        <w:rPr>
          <w:rFonts w:ascii="仿宋_GB2312" w:hAnsi="仿宋_GB2312" w:cs="仿宋_GB2312" w:eastAsia="仿宋_GB2312"/>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rFonts w:ascii="仿宋_GB2312" w:hAnsi="仿宋_GB2312" w:cs="仿宋_GB2312" w:eastAsia="仿宋_GB2312"/>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both"/>
      </w:pPr>
      <w:r>
        <w:rPr>
          <w:rFonts w:ascii="仿宋_GB2312" w:hAnsi="仿宋_GB2312" w:cs="仿宋_GB2312" w:eastAsia="仿宋_GB2312"/>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rFonts w:ascii="仿宋_GB2312" w:hAnsi="仿宋_GB2312" w:cs="仿宋_GB2312" w:eastAsia="仿宋_GB2312"/>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rFonts w:ascii="仿宋_GB2312" w:hAnsi="仿宋_GB2312" w:cs="仿宋_GB2312" w:eastAsia="仿宋_GB2312"/>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rFonts w:ascii="仿宋_GB2312" w:hAnsi="仿宋_GB2312" w:cs="仿宋_GB2312" w:eastAsia="仿宋_GB2312"/>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rFonts w:ascii="仿宋_GB2312" w:hAnsi="仿宋_GB2312" w:cs="仿宋_GB2312" w:eastAsia="仿宋_GB2312"/>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rFonts w:ascii="仿宋_GB2312" w:hAnsi="仿宋_GB2312" w:cs="仿宋_GB2312" w:eastAsia="仿宋_GB2312"/>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四、竞争性谈判</w:t>
      </w:r>
    </w:p>
    <w:p>
      <w:pPr>
        <w:pStyle w:val="null3"/>
        <w:jc w:val="both"/>
      </w:pPr>
      <w:r>
        <w:rPr>
          <w:rFonts w:ascii="仿宋_GB2312" w:hAnsi="仿宋_GB2312" w:cs="仿宋_GB2312" w:eastAsia="仿宋_GB2312"/>
          <w:b/>
        </w:rPr>
        <w:t>13.评审和谈判基本准则</w:t>
      </w:r>
    </w:p>
    <w:p>
      <w:pPr>
        <w:pStyle w:val="null3"/>
        <w:ind w:firstLine="480"/>
        <w:jc w:val="both"/>
      </w:pPr>
      <w:r>
        <w:rPr>
          <w:rFonts w:ascii="仿宋_GB2312" w:hAnsi="仿宋_GB2312" w:cs="仿宋_GB2312" w:eastAsia="仿宋_GB2312"/>
        </w:rPr>
        <w:t>13.1对所有供应商的评审和谈判，都采用相同的程序和标准。</w:t>
      </w:r>
    </w:p>
    <w:p>
      <w:pPr>
        <w:pStyle w:val="null3"/>
        <w:ind w:firstLine="480"/>
        <w:jc w:val="both"/>
      </w:pPr>
      <w:r>
        <w:rPr>
          <w:rFonts w:ascii="仿宋_GB2312" w:hAnsi="仿宋_GB2312" w:cs="仿宋_GB2312" w:eastAsia="仿宋_GB2312"/>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rFonts w:ascii="仿宋_GB2312" w:hAnsi="仿宋_GB2312" w:cs="仿宋_GB2312" w:eastAsia="仿宋_GB2312"/>
          <w:b/>
        </w:rPr>
        <w:t>14.谈判程序以及评定成交标准</w:t>
      </w:r>
    </w:p>
    <w:p>
      <w:pPr>
        <w:pStyle w:val="null3"/>
        <w:ind w:firstLine="480"/>
        <w:jc w:val="both"/>
      </w:pPr>
      <w:r>
        <w:rPr>
          <w:rFonts w:ascii="仿宋_GB2312" w:hAnsi="仿宋_GB2312" w:cs="仿宋_GB2312" w:eastAsia="仿宋_GB2312"/>
        </w:rPr>
        <w:t>14.1采购人将根据项目的特点依法组建谈判小组。谈判小组将根据谈判文件规定的程序、评定成交标准等内容对供应商进行评审、谈判。</w:t>
      </w:r>
    </w:p>
    <w:p>
      <w:pPr>
        <w:pStyle w:val="null3"/>
        <w:ind w:firstLine="480"/>
        <w:jc w:val="both"/>
      </w:pPr>
      <w:r>
        <w:rPr>
          <w:rFonts w:ascii="仿宋_GB2312" w:hAnsi="仿宋_GB2312" w:cs="仿宋_GB2312" w:eastAsia="仿宋_GB2312"/>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rFonts w:ascii="仿宋_GB2312" w:hAnsi="仿宋_GB2312" w:cs="仿宋_GB2312" w:eastAsia="仿宋_GB2312"/>
        </w:rPr>
        <w:t>14.2.1供应商有下列情况之一者，其提交的响应文件将被视为未实质性响应谈判文件要求，谈判小组将否决其响应文件，按无效处理：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响应文件未按谈判文件规定由供应商代表签字，或未按谈判文件规定加盖供应商单位公章的；或供应商代表未获得有效授权的；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供应商未按谈判文件规定提交谈判保证金的；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响应文件有效期不满足谈判文件要求的；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不符合谈判文件中规定的其它实质性条款（比如：报价超过了谈判文件规定的最高限价）。</w:t>
            </w:r>
          </w:p>
        </w:tc>
      </w:tr>
    </w:tbl>
    <w:p>
      <w:pPr>
        <w:pStyle w:val="null3"/>
        <w:ind w:firstLine="480"/>
        <w:jc w:val="both"/>
      </w:pPr>
      <w:r>
        <w:rPr>
          <w:rFonts w:ascii="仿宋_GB2312" w:hAnsi="仿宋_GB2312" w:cs="仿宋_GB2312" w:eastAsia="仿宋_GB2312"/>
        </w:rPr>
        <w:t>谈判小组决定供应商的响应性只根据响应文件本身的内容，而不寻求其他的外部证据。</w:t>
      </w:r>
    </w:p>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(1)未按照谈判文件规定要求进行编制、签署、盖章的； (2)响应文件内容与谈判文件内容及要求有重大偏离或保留的； (3)响应文件中提供虚假或失实资料的； (4)明显不符合技术规格、技术标准的要求； (5)供应商附有采购人不能接受的条件； (6)一个供应商不止投一个标； (7)响应文件组成不符合谈判文件要求的； (8)属于谈判文件规定评标委员会应否决其投标的情形，无效投标条款的； (9)不符合谈判文件中规定的其它实质性要求的条款。 其他实质性要求的条款可由评标委员会根据谈判文件要求一致讨论确定。评标委员会决定响应文件的响应性只根据谈判文件本身的内容，而不寻求其他的外部证据。(10)谈判文件第三章中内容出负偏离的，按无效响应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(1)响应文件未按照谈判文件规定要求签署、盖章的； (2)响应文件有效期不满足谈判文件要求的； (3)响应文件内容与谈判文件内容及要求有重大偏离或保留的； (4)响应文件中提供虚假或失实资料的； (5)供应商的交付地点、交付时间、质保期不符合谈判文件要求，或不接受谈判文件规定的合同款支付方式； (6)响应文件载明的货物包装方式、检验标准和方法等不符合谈判文件要求或未载明货物包装方式、检验标准和方法的； (7)一个供应商不止投一个标； (8)供应商附有采购人不能接受的条件； (9)响应文件组成不符合谈判文件要求的； (10)属于谈判文件规定评标委员会应否决其响应的情形，无效响应条款的； (11)不符合谈判文件中规定的其它实质性要求的条款。 其他实质性要求的条款可由评标委员会根据谈判文件要求一致讨论确定。评标委员会决定投标的响应性只根据响应文件本身的内容，而不寻求其他的外部证据。(12)谈判文件第三章中内容出负偏离的，按无效响应处理。</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1.报价不符合要求或超过最高限价的。2.未按照异常低价审查要求提交材料证明其报价合理性的</w:t>
            </w:r>
          </w:p>
        </w:tc>
      </w:tr>
    </w:tbl>
    <w:p>
      <w:pPr>
        <w:pStyle w:val="null3"/>
        <w:ind w:firstLine="480"/>
        <w:jc w:val="both"/>
      </w:pPr>
      <w:r>
        <w:rPr>
          <w:rFonts w:ascii="仿宋_GB2312" w:hAnsi="仿宋_GB2312" w:cs="仿宋_GB2312" w:eastAsia="仿宋_GB2312"/>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rFonts w:ascii="仿宋_GB2312" w:hAnsi="仿宋_GB2312" w:cs="仿宋_GB2312" w:eastAsia="仿宋_GB2312"/>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rFonts w:ascii="仿宋_GB2312" w:hAnsi="仿宋_GB2312" w:cs="仿宋_GB2312" w:eastAsia="仿宋_GB2312"/>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rFonts w:ascii="仿宋_GB2312" w:hAnsi="仿宋_GB2312" w:cs="仿宋_GB2312" w:eastAsia="仿宋_GB2312"/>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rFonts w:ascii="仿宋_GB2312" w:hAnsi="仿宋_GB2312" w:cs="仿宋_GB2312" w:eastAsia="仿宋_GB2312"/>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jc w:val="center"/>
      </w:pPr>
      <w:r>
        <w:rPr>
          <w:rFonts w:ascii="仿宋_GB2312" w:hAnsi="仿宋_GB2312" w:cs="仿宋_GB2312" w:eastAsia="仿宋_GB2312"/>
        </w:rPr>
        <w:t>参考文本</w:t>
      </w:r>
    </w:p>
    <w:p>
      <w:pPr>
        <w:pStyle w:val="null3"/>
        <w:jc w:val="both"/>
      </w:pPr>
      <w:r>
        <w:rPr>
          <w:rFonts w:ascii="仿宋_GB2312" w:hAnsi="仿宋_GB2312" w:cs="仿宋_GB2312" w:eastAsia="仿宋_GB2312"/>
          <w:b/>
        </w:rPr>
        <w:t>15.授予合同的准则：</w:t>
      </w:r>
    </w:p>
    <w:p>
      <w:pPr>
        <w:pStyle w:val="null3"/>
        <w:ind w:firstLine="480"/>
        <w:jc w:val="both"/>
      </w:pPr>
      <w:r>
        <w:rPr>
          <w:rFonts w:ascii="仿宋_GB2312" w:hAnsi="仿宋_GB2312" w:cs="仿宋_GB2312" w:eastAsia="仿宋_GB2312"/>
        </w:rPr>
        <w:t>15.1除不可抗力等因素外，合同将授予响应文件符合竞争性谈判文件要求，能够圆满地履行合同，且被谈判小组推</w:t>
      </w:r>
      <w:r>
        <w:br/>
      </w:r>
      <w:r>
        <w:rPr>
          <w:rFonts w:ascii="仿宋_GB2312" w:hAnsi="仿宋_GB2312" w:cs="仿宋_GB2312" w:eastAsia="仿宋_GB2312"/>
        </w:rPr>
        <w:t xml:space="preserve"> 荐为第一成交候选人的供应商。</w:t>
      </w:r>
    </w:p>
    <w:p>
      <w:pPr>
        <w:pStyle w:val="null3"/>
        <w:ind w:firstLine="480"/>
        <w:jc w:val="both"/>
      </w:pPr>
      <w:r>
        <w:rPr>
          <w:rFonts w:ascii="仿宋_GB2312" w:hAnsi="仿宋_GB2312" w:cs="仿宋_GB2312" w:eastAsia="仿宋_GB2312"/>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rFonts w:ascii="仿宋_GB2312" w:hAnsi="仿宋_GB2312" w:cs="仿宋_GB2312" w:eastAsia="仿宋_GB2312"/>
        </w:rPr>
        <w:t>15.3为维护国家利益和社会公共利益，最低报价不是被授予合同的绝对保证。</w:t>
      </w:r>
    </w:p>
    <w:p>
      <w:pPr>
        <w:pStyle w:val="null3"/>
        <w:jc w:val="both"/>
      </w:pPr>
      <w:r>
        <w:rPr>
          <w:rFonts w:ascii="仿宋_GB2312" w:hAnsi="仿宋_GB2312" w:cs="仿宋_GB2312" w:eastAsia="仿宋_GB2312"/>
          <w:b/>
        </w:rPr>
        <w:t>16.确定成交供应商：</w:t>
      </w:r>
    </w:p>
    <w:p>
      <w:pPr>
        <w:pStyle w:val="null3"/>
        <w:ind w:firstLine="480"/>
        <w:jc w:val="both"/>
      </w:pPr>
      <w:r>
        <w:rPr>
          <w:rFonts w:ascii="仿宋_GB2312" w:hAnsi="仿宋_GB2312" w:cs="仿宋_GB2312" w:eastAsia="仿宋_GB2312"/>
        </w:rPr>
        <w:t>16.1采购人委托代理机构组织竞争性谈判采购活动的，采购代理机构在评审结束后2个工作日内将评审报告送采购人确认。</w:t>
      </w:r>
    </w:p>
    <w:p>
      <w:pPr>
        <w:pStyle w:val="null3"/>
        <w:ind w:firstLine="480"/>
        <w:jc w:val="both"/>
      </w:pPr>
      <w:r>
        <w:rPr>
          <w:rFonts w:ascii="仿宋_GB2312" w:hAnsi="仿宋_GB2312" w:cs="仿宋_GB2312" w:eastAsia="仿宋_GB2312"/>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rFonts w:ascii="仿宋_GB2312" w:hAnsi="仿宋_GB2312" w:cs="仿宋_GB2312" w:eastAsia="仿宋_GB2312"/>
          <w:b/>
        </w:rPr>
        <w:t>17.成交通知:</w:t>
      </w:r>
    </w:p>
    <w:p>
      <w:pPr>
        <w:pStyle w:val="null3"/>
        <w:ind w:firstLine="480"/>
        <w:jc w:val="both"/>
      </w:pPr>
      <w:r>
        <w:rPr>
          <w:rFonts w:ascii="仿宋_GB2312" w:hAnsi="仿宋_GB2312" w:cs="仿宋_GB2312" w:eastAsia="仿宋_GB2312"/>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rFonts w:ascii="仿宋_GB2312" w:hAnsi="仿宋_GB2312" w:cs="仿宋_GB2312" w:eastAsia="仿宋_GB2312"/>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rFonts w:ascii="仿宋_GB2312" w:hAnsi="仿宋_GB2312" w:cs="仿宋_GB2312" w:eastAsia="仿宋_GB2312"/>
          <w:b/>
        </w:rPr>
        <w:t>18.签订合同：</w:t>
      </w:r>
    </w:p>
    <w:p>
      <w:pPr>
        <w:pStyle w:val="null3"/>
        <w:ind w:firstLine="480"/>
        <w:jc w:val="both"/>
      </w:pPr>
      <w:r>
        <w:rPr>
          <w:rFonts w:ascii="仿宋_GB2312" w:hAnsi="仿宋_GB2312" w:cs="仿宋_GB2312" w:eastAsia="仿宋_GB2312"/>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rFonts w:ascii="仿宋_GB2312" w:hAnsi="仿宋_GB2312" w:cs="仿宋_GB2312" w:eastAsia="仿宋_GB2312"/>
        </w:rPr>
        <w:t>18.2竞争性谈判文件、成交供应商的响应文件及其有关澄清承诺文件等，均为签订政府采购合同的依据和组成部分。</w:t>
      </w:r>
    </w:p>
    <w:p>
      <w:pPr>
        <w:pStyle w:val="null3"/>
        <w:ind w:firstLine="480"/>
        <w:jc w:val="both"/>
      </w:pPr>
      <w:r>
        <w:rPr>
          <w:rFonts w:ascii="仿宋_GB2312" w:hAnsi="仿宋_GB2312" w:cs="仿宋_GB2312" w:eastAsia="仿宋_GB2312"/>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both"/>
      </w:pPr>
      <w:r>
        <w:rPr>
          <w:rFonts w:ascii="仿宋_GB2312" w:hAnsi="仿宋_GB2312" w:cs="仿宋_GB2312" w:eastAsia="仿宋_GB2312"/>
          <w:b/>
        </w:rPr>
        <w:t>19.询问</w:t>
      </w:r>
    </w:p>
    <w:p>
      <w:pPr>
        <w:pStyle w:val="null3"/>
        <w:ind w:firstLine="480"/>
        <w:jc w:val="both"/>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rFonts w:ascii="仿宋_GB2312" w:hAnsi="仿宋_GB2312" w:cs="仿宋_GB2312" w:eastAsia="仿宋_GB2312"/>
          <w:b/>
        </w:rPr>
        <w:t>20.质疑</w:t>
      </w:r>
    </w:p>
    <w:p>
      <w:pPr>
        <w:pStyle w:val="null3"/>
        <w:ind w:firstLine="480"/>
        <w:jc w:val="both"/>
      </w:pPr>
      <w:r>
        <w:rPr>
          <w:rFonts w:ascii="仿宋_GB2312" w:hAnsi="仿宋_GB2312" w:cs="仿宋_GB2312" w:eastAsia="仿宋_GB2312"/>
        </w:rPr>
        <w:t>20.1质疑应在政府采购法及实施条例规定的时效内提出，并符合下列条件：</w:t>
      </w:r>
    </w:p>
    <w:p>
      <w:pPr>
        <w:pStyle w:val="null3"/>
        <w:ind w:firstLine="960"/>
        <w:jc w:val="both"/>
      </w:pPr>
      <w:r>
        <w:rPr>
          <w:rFonts w:ascii="仿宋_GB2312" w:hAnsi="仿宋_GB2312" w:cs="仿宋_GB2312" w:eastAsia="仿宋_GB2312"/>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rFonts w:ascii="仿宋_GB2312" w:hAnsi="仿宋_GB2312" w:cs="仿宋_GB2312" w:eastAsia="仿宋_GB2312"/>
        </w:rPr>
        <w:t>20.1.2质疑人应提交质疑函原件。</w:t>
      </w:r>
    </w:p>
    <w:p>
      <w:pPr>
        <w:pStyle w:val="null3"/>
        <w:ind w:firstLine="960"/>
        <w:jc w:val="both"/>
      </w:pPr>
      <w:r>
        <w:rPr>
          <w:rFonts w:ascii="仿宋_GB2312" w:hAnsi="仿宋_GB2312" w:cs="仿宋_GB2312" w:eastAsia="仿宋_GB2312"/>
        </w:rPr>
        <w:t>20.1.3质疑函应包括下列主要内容：</w:t>
      </w:r>
    </w:p>
    <w:p>
      <w:pPr>
        <w:pStyle w:val="null3"/>
        <w:ind w:firstLine="960"/>
        <w:jc w:val="both"/>
      </w:pPr>
      <w:r>
        <w:rPr>
          <w:rFonts w:ascii="仿宋_GB2312" w:hAnsi="仿宋_GB2312" w:cs="仿宋_GB2312" w:eastAsia="仿宋_GB2312"/>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rFonts w:ascii="仿宋_GB2312" w:hAnsi="仿宋_GB2312" w:cs="仿宋_GB2312" w:eastAsia="仿宋_GB2312"/>
        </w:rPr>
        <w:t>②所质疑项目的基本信息，至少包括：项目编号、项目名称等；</w:t>
      </w:r>
    </w:p>
    <w:p>
      <w:pPr>
        <w:pStyle w:val="null3"/>
        <w:ind w:firstLine="960"/>
        <w:jc w:val="both"/>
      </w:pPr>
      <w:r>
        <w:rPr>
          <w:rFonts w:ascii="仿宋_GB2312" w:hAnsi="仿宋_GB2312" w:cs="仿宋_GB2312" w:eastAsia="仿宋_GB2312"/>
        </w:rPr>
        <w:t>③所质疑的具体事项（以下简称：“质疑事项”）；</w:t>
      </w:r>
    </w:p>
    <w:p>
      <w:pPr>
        <w:pStyle w:val="null3"/>
        <w:ind w:firstLine="960"/>
        <w:jc w:val="both"/>
      </w:pPr>
      <w:r>
        <w:rPr>
          <w:rFonts w:ascii="仿宋_GB2312" w:hAnsi="仿宋_GB2312" w:cs="仿宋_GB2312" w:eastAsia="仿宋_GB2312"/>
        </w:rPr>
        <w:t>④质疑人自身权益受到损害的事实依据和证明材料，至少包括：</w:t>
      </w:r>
    </w:p>
    <w:p>
      <w:pPr>
        <w:pStyle w:val="null3"/>
        <w:ind w:firstLine="960"/>
        <w:jc w:val="both"/>
      </w:pPr>
      <w:r>
        <w:rPr>
          <w:rFonts w:ascii="仿宋_GB2312" w:hAnsi="仿宋_GB2312" w:cs="仿宋_GB2312" w:eastAsia="仿宋_GB2312"/>
        </w:rPr>
        <w:t>a1所质疑的具体事项事实存在的证明材料；</w:t>
      </w:r>
    </w:p>
    <w:p>
      <w:pPr>
        <w:pStyle w:val="null3"/>
        <w:ind w:firstLine="960"/>
        <w:jc w:val="both"/>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ind w:firstLine="960"/>
        <w:jc w:val="both"/>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rFonts w:ascii="仿宋_GB2312" w:hAnsi="仿宋_GB2312" w:cs="仿宋_GB2312" w:eastAsia="仿宋_GB2312"/>
        </w:rPr>
        <w:t>⑤针对质疑事项提出的明确请求和法律依据，</w:t>
      </w:r>
    </w:p>
    <w:p>
      <w:pPr>
        <w:pStyle w:val="null3"/>
        <w:ind w:firstLine="960"/>
        <w:jc w:val="both"/>
      </w:pPr>
      <w:r>
        <w:rPr>
          <w:rFonts w:ascii="仿宋_GB2312" w:hAnsi="仿宋_GB2312" w:cs="仿宋_GB2312" w:eastAsia="仿宋_GB2312"/>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rFonts w:ascii="仿宋_GB2312" w:hAnsi="仿宋_GB2312" w:cs="仿宋_GB2312" w:eastAsia="仿宋_GB2312"/>
        </w:rPr>
        <w:t>⑥提出质疑的日期以及质疑人代表联系方式，至少包括：姓名、手机、电子信箱、邮寄地址等。</w:t>
      </w:r>
    </w:p>
    <w:p>
      <w:pPr>
        <w:pStyle w:val="null3"/>
        <w:ind w:firstLine="480"/>
        <w:jc w:val="both"/>
      </w:pPr>
      <w:r>
        <w:rPr>
          <w:rFonts w:ascii="仿宋_GB2312" w:hAnsi="仿宋_GB2312" w:cs="仿宋_GB2312" w:eastAsia="仿宋_GB2312"/>
        </w:rPr>
        <w:t>20.2对不符合前文第20.1条规定的质疑，采购人或采购代理机构将按照下列规定进行处理：</w:t>
      </w:r>
    </w:p>
    <w:p>
      <w:pPr>
        <w:pStyle w:val="null3"/>
        <w:ind w:firstLine="960"/>
        <w:jc w:val="both"/>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both"/>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both"/>
      </w:pPr>
      <w:r>
        <w:rPr>
          <w:rFonts w:ascii="仿宋_GB2312" w:hAnsi="仿宋_GB2312" w:cs="仿宋_GB2312" w:eastAsia="仿宋_GB2312"/>
          <w:b/>
        </w:rPr>
        <w:t>21.投诉</w:t>
      </w:r>
    </w:p>
    <w:p>
      <w:pPr>
        <w:pStyle w:val="null3"/>
        <w:ind w:firstLine="480"/>
        <w:jc w:val="both"/>
      </w:pPr>
      <w:r>
        <w:rPr>
          <w:rFonts w:ascii="仿宋_GB2312" w:hAnsi="仿宋_GB2312" w:cs="仿宋_GB2312" w:eastAsia="仿宋_GB2312"/>
        </w:rPr>
        <w:t>21.1若对质疑答复不满意或质疑答复未在答复期限内作出，质疑人可在答复期限届满之日起15个工作日内向谈判文件中载明的监督管理部门投诉。</w:t>
      </w:r>
    </w:p>
    <w:p>
      <w:pPr>
        <w:pStyle w:val="null3"/>
        <w:ind w:firstLine="480"/>
        <w:jc w:val="both"/>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both"/>
      </w:pPr>
      <w:r>
        <w:rPr>
          <w:rFonts w:ascii="仿宋_GB2312" w:hAnsi="仿宋_GB2312" w:cs="仿宋_GB2312" w:eastAsia="仿宋_GB2312"/>
          <w:b/>
        </w:rPr>
        <w:t>22.政府采购信息公告媒体</w:t>
      </w:r>
    </w:p>
    <w:p>
      <w:pPr>
        <w:pStyle w:val="null3"/>
        <w:ind w:firstLine="480"/>
        <w:jc w:val="both"/>
      </w:pPr>
      <w:r>
        <w:rPr>
          <w:rFonts w:ascii="仿宋_GB2312" w:hAnsi="仿宋_GB2312" w:cs="仿宋_GB2312" w:eastAsia="仿宋_GB2312"/>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rFonts w:ascii="仿宋_GB2312" w:hAnsi="仿宋_GB2312" w:cs="仿宋_GB2312" w:eastAsia="仿宋_GB2312"/>
        </w:rPr>
        <w:t>22.2信息公告指定媒体：详见竞争性谈判须知前附表第7项。</w:t>
      </w:r>
    </w:p>
    <w:p>
      <w:pPr>
        <w:pStyle w:val="null3"/>
        <w:jc w:val="both"/>
      </w:pPr>
      <w:r>
        <w:rPr>
          <w:rFonts w:ascii="仿宋_GB2312" w:hAnsi="仿宋_GB2312" w:cs="仿宋_GB2312" w:eastAsia="仿宋_GB2312"/>
          <w:b/>
        </w:rPr>
        <w:t>23.监督管理部门</w:t>
      </w:r>
    </w:p>
    <w:p>
      <w:pPr>
        <w:pStyle w:val="null3"/>
        <w:ind w:firstLine="480"/>
        <w:jc w:val="both"/>
      </w:pPr>
      <w:r>
        <w:rPr>
          <w:rFonts w:ascii="仿宋_GB2312" w:hAnsi="仿宋_GB2312" w:cs="仿宋_GB2312" w:eastAsia="仿宋_GB2312"/>
        </w:rPr>
        <w:t>23.1谈判采购活动的监督管理部门详见竞争性谈判须知前附表第8项。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24.1进口产品指通过中国海关报关验放进入中国境内且产自关境外的产品，其中：</w:t>
      </w:r>
    </w:p>
    <w:p>
      <w:pPr>
        <w:pStyle w:val="null3"/>
        <w:ind w:firstLine="96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96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960"/>
        <w:jc w:val="both"/>
      </w:pPr>
      <w:r>
        <w:rPr>
          <w:rFonts w:ascii="仿宋_GB2312" w:hAnsi="仿宋_GB2312" w:cs="仿宋_GB2312" w:eastAsia="仿宋_GB2312"/>
        </w:rPr>
        <w:t>（4）谈判文件列明不允许或未列明允许进口产品参加报价的，均视为拒绝进口产品参加报价。</w:t>
      </w:r>
    </w:p>
    <w:p>
      <w:pPr>
        <w:pStyle w:val="null3"/>
        <w:ind w:firstLine="480"/>
        <w:jc w:val="both"/>
      </w:pPr>
      <w:r>
        <w:rPr>
          <w:rFonts w:ascii="仿宋_GB2312" w:hAnsi="仿宋_GB2312" w:cs="仿宋_GB2312" w:eastAsia="仿宋_GB2312"/>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rFonts w:ascii="仿宋_GB2312" w:hAnsi="仿宋_GB2312" w:cs="仿宋_GB2312" w:eastAsia="仿宋_GB2312"/>
        </w:rPr>
        <w:t>（1）中小企业指符合下列条件的中型、小型、微型企业：</w:t>
      </w:r>
    </w:p>
    <w:p>
      <w:pPr>
        <w:pStyle w:val="null3"/>
        <w:ind w:firstLine="96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rFonts w:ascii="仿宋_GB2312" w:hAnsi="仿宋_GB2312" w:cs="仿宋_GB2312" w:eastAsia="仿宋_GB2312"/>
        </w:rPr>
        <w:t>②符合中小企业划分标准的个体工商户，在政府采购活动中视同中小企业。</w:t>
      </w:r>
    </w:p>
    <w:p>
      <w:pPr>
        <w:pStyle w:val="null3"/>
        <w:ind w:firstLine="96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96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960"/>
        <w:jc w:val="both"/>
      </w:pPr>
      <w:r>
        <w:rPr>
          <w:rFonts w:ascii="仿宋_GB2312" w:hAnsi="仿宋_GB2312" w:cs="仿宋_GB2312" w:eastAsia="仿宋_GB2312"/>
        </w:rPr>
        <w:t>②在工程采购项目中，工程由中小企业承建，即工程施工单位为中小企业；</w:t>
      </w:r>
    </w:p>
    <w:p>
      <w:pPr>
        <w:pStyle w:val="null3"/>
        <w:ind w:firstLine="96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96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96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960"/>
        <w:jc w:val="both"/>
      </w:pPr>
      <w:r>
        <w:rPr>
          <w:rFonts w:ascii="仿宋_GB2312" w:hAnsi="仿宋_GB2312" w:cs="仿宋_GB2312" w:eastAsia="仿宋_GB2312"/>
        </w:rPr>
        <w:t>（3）供应商应当按照谈判文件明确的采购标的对应行业的划分标准出具中小企业声明函。</w:t>
      </w:r>
    </w:p>
    <w:p>
      <w:pPr>
        <w:pStyle w:val="null3"/>
        <w:ind w:firstLine="96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960"/>
        <w:jc w:val="both"/>
      </w:pPr>
      <w:r>
        <w:rPr>
          <w:rFonts w:ascii="仿宋_GB2312" w:hAnsi="仿宋_GB2312" w:cs="仿宋_GB2312" w:eastAsia="仿宋_GB2312"/>
        </w:rPr>
        <w:t>②监狱企业视同小型、微型企业。</w:t>
      </w:r>
    </w:p>
    <w:p>
      <w:pPr>
        <w:pStyle w:val="null3"/>
        <w:ind w:firstLine="960"/>
        <w:jc w:val="both"/>
      </w:pPr>
      <w:r>
        <w:rPr>
          <w:rFonts w:ascii="仿宋_GB2312" w:hAnsi="仿宋_GB2312" w:cs="仿宋_GB2312" w:eastAsia="仿宋_GB2312"/>
        </w:rPr>
        <w:t>（5）残疾人福利性单位指同时符合下列条件的单位：</w:t>
      </w:r>
    </w:p>
    <w:p>
      <w:pPr>
        <w:pStyle w:val="null3"/>
        <w:ind w:firstLine="96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960"/>
        <w:jc w:val="both"/>
      </w:pPr>
      <w:r>
        <w:rPr>
          <w:rFonts w:ascii="仿宋_GB2312" w:hAnsi="仿宋_GB2312" w:cs="仿宋_GB2312" w:eastAsia="仿宋_GB2312"/>
        </w:rPr>
        <w:t>②依法与安置的每位残疾人签订了一年以上（含一年）的劳动合同或服务协议；</w:t>
      </w:r>
    </w:p>
    <w:p>
      <w:pPr>
        <w:pStyle w:val="null3"/>
        <w:ind w:firstLine="96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96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96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96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both"/>
      </w:pPr>
      <w:r>
        <w:rPr>
          <w:rFonts w:ascii="仿宋_GB2312" w:hAnsi="仿宋_GB2312" w:cs="仿宋_GB2312" w:eastAsia="仿宋_GB2312"/>
        </w:rPr>
        <w:t>25.履约保证金</w:t>
      </w:r>
    </w:p>
    <w:p>
      <w:pPr>
        <w:pStyle w:val="null3"/>
        <w:ind w:firstLine="480"/>
        <w:jc w:val="both"/>
      </w:pPr>
      <w:r>
        <w:rPr>
          <w:rFonts w:ascii="仿宋_GB2312" w:hAnsi="仿宋_GB2312" w:cs="仿宋_GB2312" w:eastAsia="仿宋_GB2312"/>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rFonts w:ascii="仿宋_GB2312" w:hAnsi="仿宋_GB2312" w:cs="仿宋_GB2312" w:eastAsia="仿宋_GB2312"/>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26.1根据采购项目特点或政策需要补充的其他新增内容详见竞争性谈判须知前附表第9项。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本项目为</w:t>
      </w:r>
      <w:r>
        <w:rPr>
          <w:rFonts w:ascii="仿宋_GB2312" w:hAnsi="仿宋_GB2312" w:cs="仿宋_GB2312" w:eastAsia="仿宋_GB2312"/>
          <w:sz w:val="24"/>
          <w:b/>
        </w:rPr>
        <w:t>执法办案管理中心三级等级安全保护设备采购</w:t>
      </w:r>
      <w:r>
        <w:rPr>
          <w:rFonts w:ascii="仿宋_GB2312" w:hAnsi="仿宋_GB2312" w:cs="仿宋_GB2312" w:eastAsia="仿宋_GB2312"/>
          <w:sz w:val="24"/>
        </w:rPr>
        <w:t>，供应商应严格遵照本竞争性谈判文件中所涉及的技术要求和规范</w:t>
      </w:r>
      <w:r>
        <w:rPr>
          <w:rFonts w:ascii="仿宋_GB2312" w:hAnsi="仿宋_GB2312" w:cs="仿宋_GB2312" w:eastAsia="仿宋_GB2312"/>
          <w:sz w:val="24"/>
        </w:rPr>
        <w:t>参加报价。</w:t>
      </w:r>
    </w:p>
    <w:p>
      <w:pPr>
        <w:pStyle w:val="null3"/>
        <w:jc w:val="left"/>
      </w:pPr>
      <w:r>
        <w:rPr>
          <w:rFonts w:ascii="仿宋_GB2312" w:hAnsi="仿宋_GB2312" w:cs="仿宋_GB2312" w:eastAsia="仿宋_GB2312"/>
          <w:sz w:val="24"/>
        </w:rPr>
        <w:t>1、本次采购项目的核心产品为</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下一代</w:t>
      </w:r>
      <w:r>
        <w:rPr>
          <w:rFonts w:ascii="仿宋_GB2312" w:hAnsi="仿宋_GB2312" w:cs="仿宋_GB2312" w:eastAsia="仿宋_GB2312"/>
          <w:sz w:val="24"/>
          <w:b/>
        </w:rPr>
        <w:t>防火墙</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1.1凡是列入核心产品范围的，其中任一产品出现相同品牌的，均被认定为一家供应商来计算。</w:t>
      </w:r>
    </w:p>
    <w:p>
      <w:pPr>
        <w:pStyle w:val="null3"/>
        <w:jc w:val="left"/>
      </w:pPr>
      <w:r>
        <w:rPr>
          <w:rFonts w:ascii="仿宋_GB2312" w:hAnsi="仿宋_GB2312" w:cs="仿宋_GB2312" w:eastAsia="仿宋_GB2312"/>
          <w:sz w:val="24"/>
        </w:rPr>
        <w:t>1.2提供相同品牌产品的不同供应商参加本项目合同包1的，以其中通过资格审查、符合性审查且最终报价最低的参加评审；最终报价相同的，由谈判小组按照下列方式确定一个参加评审的供应商：</w:t>
      </w:r>
    </w:p>
    <w:p>
      <w:pPr>
        <w:pStyle w:val="null3"/>
        <w:jc w:val="left"/>
      </w:pPr>
      <w:r>
        <w:rPr>
          <w:rFonts w:ascii="仿宋_GB2312" w:hAnsi="仿宋_GB2312" w:cs="仿宋_GB2312" w:eastAsia="仿宋_GB2312"/>
          <w:sz w:val="24"/>
        </w:rPr>
        <w:t>a.竞争性谈判文件规定的方式：无。</w:t>
      </w:r>
    </w:p>
    <w:p>
      <w:pPr>
        <w:pStyle w:val="null3"/>
        <w:jc w:val="left"/>
      </w:pPr>
      <w:r>
        <w:rPr>
          <w:rFonts w:ascii="仿宋_GB2312" w:hAnsi="仿宋_GB2312" w:cs="仿宋_GB2312" w:eastAsia="仿宋_GB2312"/>
          <w:sz w:val="24"/>
        </w:rPr>
        <w:t>b.竞争性谈判文件未规定的，采取随机抽取方式确定，其他供应商按无效响应处理。</w:t>
      </w:r>
    </w:p>
    <w:p>
      <w:pPr>
        <w:pStyle w:val="null3"/>
        <w:jc w:val="left"/>
      </w:pPr>
      <w:r>
        <w:rPr>
          <w:rFonts w:ascii="仿宋_GB2312" w:hAnsi="仿宋_GB2312" w:cs="仿宋_GB2312" w:eastAsia="仿宋_GB2312"/>
          <w:sz w:val="24"/>
        </w:rPr>
        <w:t>1.3本竞争性谈判文件关于核心产品的规定均按本条款执行。</w:t>
      </w:r>
    </w:p>
    <w:p>
      <w:pPr>
        <w:pStyle w:val="null3"/>
        <w:jc w:val="both"/>
      </w:pPr>
      <w:r>
        <w:rPr>
          <w:rFonts w:ascii="仿宋_GB2312" w:hAnsi="仿宋_GB2312" w:cs="仿宋_GB2312" w:eastAsia="仿宋_GB2312"/>
          <w:sz w:val="24"/>
        </w:rPr>
        <w:t>2.供应商应以包括产品所涉及的有关项目的所有费用进行报价，包括但不限于：产品制造、运输、装卸、保险、安装、调试、搬运及设备就位、培训、检验、保修、备品备件、专用工具、质量保修、税金及政策性文件规定的各项应有费用及可合理推断的责任和义务，采购人不再支付任何费用。供应商务必仔细阅读谈判文件中所规定的，其中包括技术和服务要求在内的所有细则。</w:t>
      </w:r>
    </w:p>
    <w:p>
      <w:pPr>
        <w:pStyle w:val="null3"/>
        <w:jc w:val="both"/>
        <w:outlineLvl w:val="2"/>
      </w:pPr>
      <w:r>
        <w:rPr>
          <w:rFonts w:ascii="仿宋_GB2312" w:hAnsi="仿宋_GB2312" w:cs="仿宋_GB2312" w:eastAsia="仿宋_GB2312"/>
          <w:sz w:val="28"/>
          <w:b/>
        </w:rPr>
        <w:t>二、技术和服务要求</w:t>
      </w:r>
    </w:p>
    <w:tbl>
      <w:tblPr>
        <w:tblW w:w="0" w:type="auto"/>
        <w:tblBorders>
          <w:top w:val="none" w:color="000000" w:sz="4"/>
          <w:left w:val="none" w:color="000000" w:sz="4"/>
          <w:bottom w:val="none" w:color="000000" w:sz="4"/>
          <w:right w:val="none" w:color="000000" w:sz="4"/>
          <w:insideH w:val="none"/>
          <w:insideV w:val="none"/>
        </w:tblBorders>
      </w:tblPr>
      <w:tblGrid>
        <w:gridCol w:w="1178"/>
        <w:gridCol w:w="6116"/>
        <w:gridCol w:w="1012"/>
      </w:tblGrid>
      <w:tr>
        <w:tc>
          <w:tcPr>
            <w:tcW w:type="dxa" w:w="117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产品名称</w:t>
            </w:r>
          </w:p>
        </w:tc>
        <w:tc>
          <w:tcPr>
            <w:tcW w:type="dxa" w:w="6116"/>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参数</w:t>
            </w:r>
          </w:p>
        </w:tc>
        <w:tc>
          <w:tcPr>
            <w:tcW w:type="dxa" w:w="10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◆下一代防火墙（核心产品）</w:t>
            </w:r>
          </w:p>
        </w:tc>
        <w:tc>
          <w:tcPr>
            <w:tcW w:type="dxa" w:w="611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2"/>
              </w:rPr>
              <w:t>1、性能参数:网络层吞吐量</w:t>
            </w:r>
            <w:r>
              <w:rPr>
                <w:rFonts w:ascii="仿宋_GB2312" w:hAnsi="仿宋_GB2312" w:cs="仿宋_GB2312" w:eastAsia="仿宋_GB2312"/>
                <w:sz w:val="21"/>
              </w:rPr>
              <w:t>≥</w:t>
            </w:r>
            <w:r>
              <w:rPr>
                <w:rFonts w:ascii="仿宋_GB2312" w:hAnsi="仿宋_GB2312" w:cs="仿宋_GB2312" w:eastAsia="仿宋_GB2312"/>
                <w:sz w:val="22"/>
              </w:rPr>
              <w:t>20G，应用层吞吐量</w:t>
            </w:r>
            <w:r>
              <w:rPr>
                <w:rFonts w:ascii="仿宋_GB2312" w:hAnsi="仿宋_GB2312" w:cs="仿宋_GB2312" w:eastAsia="仿宋_GB2312"/>
                <w:sz w:val="21"/>
              </w:rPr>
              <w:t>≥</w:t>
            </w:r>
            <w:r>
              <w:rPr>
                <w:rFonts w:ascii="仿宋_GB2312" w:hAnsi="仿宋_GB2312" w:cs="仿宋_GB2312" w:eastAsia="仿宋_GB2312"/>
                <w:sz w:val="22"/>
              </w:rPr>
              <w:t>18G，并发连接数:</w:t>
            </w:r>
            <w:r>
              <w:rPr>
                <w:rFonts w:ascii="仿宋_GB2312" w:hAnsi="仿宋_GB2312" w:cs="仿宋_GB2312" w:eastAsia="仿宋_GB2312"/>
                <w:sz w:val="21"/>
              </w:rPr>
              <w:t>≥</w:t>
            </w:r>
            <w:r>
              <w:rPr>
                <w:rFonts w:ascii="仿宋_GB2312" w:hAnsi="仿宋_GB2312" w:cs="仿宋_GB2312" w:eastAsia="仿宋_GB2312"/>
                <w:sz w:val="22"/>
              </w:rPr>
              <w:t>800万，HTTP新建连接数</w:t>
            </w:r>
            <w:r>
              <w:rPr>
                <w:rFonts w:ascii="仿宋_GB2312" w:hAnsi="仿宋_GB2312" w:cs="仿宋_GB2312" w:eastAsia="仿宋_GB2312"/>
                <w:sz w:val="21"/>
              </w:rPr>
              <w:t>≥</w:t>
            </w:r>
            <w:r>
              <w:rPr>
                <w:rFonts w:ascii="仿宋_GB2312" w:hAnsi="仿宋_GB2312" w:cs="仿宋_GB2312" w:eastAsia="仿宋_GB2312"/>
                <w:sz w:val="22"/>
              </w:rPr>
              <w:t>16万，件参数:国产化操作系统和国产化CPU,内存大小</w:t>
            </w:r>
            <w:r>
              <w:rPr>
                <w:rFonts w:ascii="仿宋_GB2312" w:hAnsi="仿宋_GB2312" w:cs="仿宋_GB2312" w:eastAsia="仿宋_GB2312"/>
                <w:sz w:val="21"/>
              </w:rPr>
              <w:t>≥</w:t>
            </w:r>
            <w:r>
              <w:rPr>
                <w:rFonts w:ascii="仿宋_GB2312" w:hAnsi="仿宋_GB2312" w:cs="仿宋_GB2312" w:eastAsia="仿宋_GB2312"/>
                <w:sz w:val="22"/>
              </w:rPr>
              <w:t>16G，硬盘容量</w:t>
            </w:r>
            <w:r>
              <w:rPr>
                <w:rFonts w:ascii="仿宋_GB2312" w:hAnsi="仿宋_GB2312" w:cs="仿宋_GB2312" w:eastAsia="仿宋_GB2312"/>
                <w:sz w:val="21"/>
              </w:rPr>
              <w:t>≥</w:t>
            </w:r>
            <w:r>
              <w:rPr>
                <w:rFonts w:ascii="仿宋_GB2312" w:hAnsi="仿宋_GB2312" w:cs="仿宋_GB2312" w:eastAsia="仿宋_GB2312"/>
                <w:sz w:val="22"/>
              </w:rPr>
              <w:t>128GSSD，冗余电源，接口</w:t>
            </w:r>
            <w:r>
              <w:rPr>
                <w:rFonts w:ascii="仿宋_GB2312" w:hAnsi="仿宋_GB2312" w:cs="仿宋_GB2312" w:eastAsia="仿宋_GB2312"/>
                <w:sz w:val="21"/>
              </w:rPr>
              <w:t>≥</w:t>
            </w:r>
            <w:r>
              <w:rPr>
                <w:rFonts w:ascii="仿宋_GB2312" w:hAnsi="仿宋_GB2312" w:cs="仿宋_GB2312" w:eastAsia="仿宋_GB2312"/>
                <w:sz w:val="22"/>
              </w:rPr>
              <w:t>6千兆电口，</w:t>
            </w:r>
            <w:r>
              <w:rPr>
                <w:rFonts w:ascii="仿宋_GB2312" w:hAnsi="仿宋_GB2312" w:cs="仿宋_GB2312" w:eastAsia="仿宋_GB2312"/>
                <w:sz w:val="21"/>
              </w:rPr>
              <w:t>≥</w:t>
            </w:r>
            <w:r>
              <w:rPr>
                <w:rFonts w:ascii="仿宋_GB2312" w:hAnsi="仿宋_GB2312" w:cs="仿宋_GB2312" w:eastAsia="仿宋_GB2312"/>
                <w:sz w:val="22"/>
              </w:rPr>
              <w:t>4万兆光口SFP+。</w:t>
            </w:r>
          </w:p>
          <w:p>
            <w:pPr>
              <w:pStyle w:val="null3"/>
              <w:jc w:val="left"/>
            </w:pPr>
            <w:r>
              <w:rPr>
                <w:rFonts w:ascii="仿宋_GB2312" w:hAnsi="仿宋_GB2312" w:cs="仿宋_GB2312" w:eastAsia="仿宋_GB2312"/>
                <w:sz w:val="22"/>
              </w:rPr>
              <w:t>2、支持针对入侵行为防御、内容安全的高危行为进行联动封锁，自动封锁具有高危行为特征的攻击源IP;支持针对任意攻击行为进行联动封锁，对任意有攻击威胁的IP进行封堵;支持手动封锁攻击者IP，封锁时间可自定义。</w:t>
            </w:r>
            <w:r>
              <w:br/>
            </w:r>
            <w:r>
              <w:rPr>
                <w:rFonts w:ascii="仿宋_GB2312" w:hAnsi="仿宋_GB2312" w:cs="仿宋_GB2312" w:eastAsia="仿宋_GB2312"/>
                <w:sz w:val="22"/>
              </w:rPr>
              <w:t>3、支持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r>
              <w:br/>
            </w:r>
            <w:r>
              <w:rPr>
                <w:rFonts w:ascii="仿宋_GB2312" w:hAnsi="仿宋_GB2312" w:cs="仿宋_GB2312" w:eastAsia="仿宋_GB2312"/>
                <w:sz w:val="22"/>
              </w:rPr>
              <w:t>4、支持僵尸主机检测功能，产品预定义特征库超过110万种，可识别主机的异常外联行为。</w:t>
            </w:r>
            <w:r>
              <w:br/>
            </w:r>
            <w:r>
              <w:rPr>
                <w:rFonts w:ascii="仿宋_GB2312" w:hAnsi="仿宋_GB2312" w:cs="仿宋_GB2312" w:eastAsia="仿宋_GB2312"/>
                <w:sz w:val="22"/>
              </w:rPr>
              <w:t>5、支持用户账号全生命周期保护功能，包括用户账号多余入口检测、用户账号弱口令检测、用户账号暴力破解检测、失陷账号检测，防止因账号被暴力破解导致的非法提权情况发生。</w:t>
            </w:r>
            <w:r>
              <w:br/>
            </w: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三年以上（含）质保服务及五年以上（含）软件升级服务和授权</w:t>
            </w:r>
            <w:r>
              <w:rPr>
                <w:rFonts w:ascii="仿宋_GB2312" w:hAnsi="仿宋_GB2312" w:cs="仿宋_GB2312" w:eastAsia="仿宋_GB2312"/>
                <w:sz w:val="22"/>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2台</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态势感知平台</w:t>
            </w:r>
          </w:p>
        </w:tc>
        <w:tc>
          <w:tcPr>
            <w:tcW w:type="dxa" w:w="6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1、硬件参数:国产化操作系统和国产化CPU,内存</w:t>
            </w:r>
            <w:r>
              <w:rPr>
                <w:rFonts w:ascii="仿宋_GB2312" w:hAnsi="仿宋_GB2312" w:cs="仿宋_GB2312" w:eastAsia="仿宋_GB2312"/>
                <w:sz w:val="21"/>
              </w:rPr>
              <w:t>≥</w:t>
            </w:r>
            <w:r>
              <w:rPr>
                <w:rFonts w:ascii="仿宋_GB2312" w:hAnsi="仿宋_GB2312" w:cs="仿宋_GB2312" w:eastAsia="仿宋_GB2312"/>
                <w:sz w:val="22"/>
              </w:rPr>
              <w:t>4*32GB ，系统盘</w:t>
            </w:r>
            <w:r>
              <w:rPr>
                <w:rFonts w:ascii="仿宋_GB2312" w:hAnsi="仿宋_GB2312" w:cs="仿宋_GB2312" w:eastAsia="仿宋_GB2312"/>
                <w:sz w:val="21"/>
              </w:rPr>
              <w:t>≥</w:t>
            </w:r>
            <w:r>
              <w:rPr>
                <w:rFonts w:ascii="仿宋_GB2312" w:hAnsi="仿宋_GB2312" w:cs="仿宋_GB2312" w:eastAsia="仿宋_GB2312"/>
                <w:sz w:val="22"/>
              </w:rPr>
              <w:t>480GB SATA，数据盘</w:t>
            </w:r>
            <w:r>
              <w:rPr>
                <w:rFonts w:ascii="仿宋_GB2312" w:hAnsi="仿宋_GB2312" w:cs="仿宋_GB2312" w:eastAsia="仿宋_GB2312"/>
                <w:sz w:val="21"/>
              </w:rPr>
              <w:t>≥</w:t>
            </w:r>
            <w:r>
              <w:rPr>
                <w:rFonts w:ascii="仿宋_GB2312" w:hAnsi="仿宋_GB2312" w:cs="仿宋_GB2312" w:eastAsia="仿宋_GB2312"/>
                <w:sz w:val="22"/>
              </w:rPr>
              <w:t>40T，标配盘位数</w:t>
            </w:r>
            <w:r>
              <w:rPr>
                <w:rFonts w:ascii="仿宋_GB2312" w:hAnsi="仿宋_GB2312" w:cs="仿宋_GB2312" w:eastAsia="仿宋_GB2312"/>
                <w:sz w:val="21"/>
              </w:rPr>
              <w:t>≥</w:t>
            </w:r>
            <w:r>
              <w:rPr>
                <w:rFonts w:ascii="仿宋_GB2312" w:hAnsi="仿宋_GB2312" w:cs="仿宋_GB2312" w:eastAsia="仿宋_GB2312"/>
                <w:sz w:val="22"/>
              </w:rPr>
              <w:t>12，冗余电源，接口</w:t>
            </w:r>
            <w:r>
              <w:rPr>
                <w:rFonts w:ascii="仿宋_GB2312" w:hAnsi="仿宋_GB2312" w:cs="仿宋_GB2312" w:eastAsia="仿宋_GB2312"/>
                <w:sz w:val="21"/>
              </w:rPr>
              <w:t>≥</w:t>
            </w:r>
            <w:r>
              <w:rPr>
                <w:rFonts w:ascii="仿宋_GB2312" w:hAnsi="仿宋_GB2312" w:cs="仿宋_GB2312" w:eastAsia="仿宋_GB2312"/>
                <w:sz w:val="22"/>
              </w:rPr>
              <w:t>4千兆电口，</w:t>
            </w:r>
            <w:r>
              <w:rPr>
                <w:rFonts w:ascii="仿宋_GB2312" w:hAnsi="仿宋_GB2312" w:cs="仿宋_GB2312" w:eastAsia="仿宋_GB2312"/>
                <w:sz w:val="21"/>
              </w:rPr>
              <w:t>≥</w:t>
            </w:r>
            <w:r>
              <w:rPr>
                <w:rFonts w:ascii="仿宋_GB2312" w:hAnsi="仿宋_GB2312" w:cs="仿宋_GB2312" w:eastAsia="仿宋_GB2312"/>
                <w:sz w:val="22"/>
              </w:rPr>
              <w:t>2万兆光口。</w:t>
            </w:r>
            <w:r>
              <w:br/>
            </w:r>
            <w:r>
              <w:rPr>
                <w:rFonts w:ascii="仿宋_GB2312" w:hAnsi="仿宋_GB2312" w:cs="仿宋_GB2312" w:eastAsia="仿宋_GB2312"/>
                <w:sz w:val="22"/>
              </w:rPr>
              <w:t>2、支持不同视角展示全网态势，包括综合安全态势、分支安全态势、安全事件态势、网络攻击态势、外连风险态势、横向威胁态势、脆弱性态势、资产态势等8个独立的大屏展示功能，并支持大屏轮播。</w:t>
            </w:r>
            <w:r>
              <w:br/>
            </w:r>
            <w:r>
              <w:rPr>
                <w:rFonts w:ascii="仿宋_GB2312" w:hAnsi="仿宋_GB2312" w:cs="仿宋_GB2312" w:eastAsia="仿宋_GB2312"/>
                <w:sz w:val="22"/>
              </w:rPr>
              <w:t>3、支持失陷(业务和用户)主机详细分析，包含攻击阶段分布、风险等级趋势、安全事件举证、遭受的外部攻击、存在的漏洞风险、行为画像(EBA)、开放端口等信息。支持对每个安全事件详细举证分析，包含风险危害、处置建议、专杀工具、安全知识库等。</w:t>
            </w:r>
            <w:r>
              <w:br/>
            </w:r>
            <w:r>
              <w:rPr>
                <w:rFonts w:ascii="仿宋_GB2312" w:hAnsi="仿宋_GB2312" w:cs="仿宋_GB2312" w:eastAsia="仿宋_GB2312"/>
                <w:sz w:val="22"/>
              </w:rPr>
              <w:t>4、支持独立文件威胁鉴定模块，支持基于HTTP、邮件、FTP、SMB等协议的文件检测。</w:t>
            </w:r>
            <w:r>
              <w:br/>
            </w:r>
            <w:r>
              <w:rPr>
                <w:rFonts w:ascii="仿宋_GB2312" w:hAnsi="仿宋_GB2312" w:cs="仿宋_GB2312" w:eastAsia="仿宋_GB2312"/>
                <w:sz w:val="22"/>
              </w:rPr>
              <w:t>5、支持对数据库进行持续学习和监控，并能判断是否存在异常行为的功能。</w:t>
            </w:r>
            <w:r>
              <w:br/>
            </w:r>
            <w:r>
              <w:rPr>
                <w:rFonts w:ascii="仿宋_GB2312" w:hAnsi="仿宋_GB2312" w:cs="仿宋_GB2312" w:eastAsia="仿宋_GB2312"/>
                <w:sz w:val="22"/>
              </w:rPr>
              <w:t>6、具备独立支持文件威胁分析，可展示文件分析过程、文件检测趋势、恶意文件T0P5:支持恶意文件的详情分析，包括支持记录恶意文件感染的主机、所属分支、文件名、病毒名称、传输协议等;支持导出文件威胁分析结果。</w:t>
            </w:r>
          </w:p>
          <w:p>
            <w:pPr>
              <w:pStyle w:val="null3"/>
              <w:jc w:val="left"/>
            </w:pPr>
            <w:r>
              <w:rPr>
                <w:rFonts w:ascii="仿宋_GB2312" w:hAnsi="仿宋_GB2312" w:cs="仿宋_GB2312" w:eastAsia="仿宋_GB2312"/>
                <w:sz w:val="22"/>
              </w:rPr>
              <w:t>7、支持挖矿专项检测页面，具备挖矿攻击事前、事中和事后全链路的检测分析能力，综合运用威胁情报、IPS特征规则和行为关联分析技术，如检测发现文件传输(上传下载)阶段的异常，对挖矿早期的准备动作即告警。同时平台也支持内置安全知识库供经验沉淀。</w:t>
            </w:r>
          </w:p>
          <w:p>
            <w:pPr>
              <w:pStyle w:val="null3"/>
              <w:jc w:val="left"/>
            </w:pPr>
            <w:r>
              <w:rPr>
                <w:rFonts w:ascii="仿宋_GB2312" w:hAnsi="仿宋_GB2312" w:cs="仿宋_GB2312" w:eastAsia="仿宋_GB2312"/>
                <w:sz w:val="22"/>
              </w:rPr>
              <w:t>8、支持威胁定性引擎以分析告警的上下文关联、时序关系、历史告警发生的频率规律性，结合威胁情报与安全专家经验对当前的安全告警进行目的性确认，从而确认安全告警的优先级顺序，支持基于人工渗透、程序自动化、业务相关风险、其它4个维度对告警进行分类，帮助安全人员快速定位高危告警并及时处置。</w:t>
            </w:r>
            <w:r>
              <w:br/>
            </w: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三年以上（含）质保服务及五年以上（含）软件升级服务和授权</w:t>
            </w:r>
            <w:r>
              <w:rPr>
                <w:rFonts w:ascii="仿宋_GB2312" w:hAnsi="仿宋_GB2312" w:cs="仿宋_GB2312" w:eastAsia="仿宋_GB2312"/>
                <w:sz w:val="22"/>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数据库审计</w:t>
            </w:r>
          </w:p>
        </w:tc>
        <w:tc>
          <w:tcPr>
            <w:tcW w:type="dxa" w:w="6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1、性能参数:吞吐量</w:t>
            </w:r>
            <w:r>
              <w:rPr>
                <w:rFonts w:ascii="仿宋_GB2312" w:hAnsi="仿宋_GB2312" w:cs="仿宋_GB2312" w:eastAsia="仿宋_GB2312"/>
                <w:sz w:val="21"/>
              </w:rPr>
              <w:t>≥</w:t>
            </w:r>
            <w:r>
              <w:rPr>
                <w:rFonts w:ascii="仿宋_GB2312" w:hAnsi="仿宋_GB2312" w:cs="仿宋_GB2312" w:eastAsia="仿宋_GB2312"/>
                <w:sz w:val="22"/>
              </w:rPr>
              <w:t>2Gbps，数据库纯SqL流量</w:t>
            </w:r>
            <w:r>
              <w:rPr>
                <w:rFonts w:ascii="仿宋_GB2312" w:hAnsi="仿宋_GB2312" w:cs="仿宋_GB2312" w:eastAsia="仿宋_GB2312"/>
                <w:sz w:val="21"/>
              </w:rPr>
              <w:t>≥</w:t>
            </w:r>
            <w:r>
              <w:rPr>
                <w:rFonts w:ascii="仿宋_GB2312" w:hAnsi="仿宋_GB2312" w:cs="仿宋_GB2312" w:eastAsia="仿宋_GB2312"/>
                <w:sz w:val="22"/>
              </w:rPr>
              <w:t>400Mb/s，数据库实例个数多30个，SQL处理性能</w:t>
            </w:r>
            <w:r>
              <w:rPr>
                <w:rFonts w:ascii="仿宋_GB2312" w:hAnsi="仿宋_GB2312" w:cs="仿宋_GB2312" w:eastAsia="仿宋_GB2312"/>
                <w:sz w:val="21"/>
              </w:rPr>
              <w:t>≥</w:t>
            </w:r>
            <w:r>
              <w:rPr>
                <w:rFonts w:ascii="仿宋_GB2312" w:hAnsi="仿宋_GB2312" w:cs="仿宋_GB2312" w:eastAsia="仿宋_GB2312"/>
                <w:sz w:val="22"/>
              </w:rPr>
              <w:t>30000条SQL/s，日志检索性能≥400000条/秒，硬件参数:国产化操作系统国产化CPU,内存大小</w:t>
            </w:r>
            <w:r>
              <w:rPr>
                <w:rFonts w:ascii="仿宋_GB2312" w:hAnsi="仿宋_GB2312" w:cs="仿宋_GB2312" w:eastAsia="仿宋_GB2312"/>
                <w:sz w:val="21"/>
              </w:rPr>
              <w:t>≥</w:t>
            </w:r>
            <w:r>
              <w:rPr>
                <w:rFonts w:ascii="仿宋_GB2312" w:hAnsi="仿宋_GB2312" w:cs="仿宋_GB2312" w:eastAsia="仿宋_GB2312"/>
                <w:sz w:val="22"/>
              </w:rPr>
              <w:t>8G，硬盘容量</w:t>
            </w:r>
            <w:r>
              <w:rPr>
                <w:rFonts w:ascii="仿宋_GB2312" w:hAnsi="仿宋_GB2312" w:cs="仿宋_GB2312" w:eastAsia="仿宋_GB2312"/>
                <w:sz w:val="21"/>
              </w:rPr>
              <w:t>≥</w:t>
            </w:r>
            <w:r>
              <w:rPr>
                <w:rFonts w:ascii="仿宋_GB2312" w:hAnsi="仿宋_GB2312" w:cs="仿宋_GB2312" w:eastAsia="仿宋_GB2312"/>
                <w:sz w:val="22"/>
              </w:rPr>
              <w:t>128G SSD+4T SATA，单电源，接口</w:t>
            </w:r>
            <w:r>
              <w:rPr>
                <w:rFonts w:ascii="仿宋_GB2312" w:hAnsi="仿宋_GB2312" w:cs="仿宋_GB2312" w:eastAsia="仿宋_GB2312"/>
                <w:sz w:val="21"/>
              </w:rPr>
              <w:t>≥</w:t>
            </w:r>
            <w:r>
              <w:rPr>
                <w:rFonts w:ascii="仿宋_GB2312" w:hAnsi="仿宋_GB2312" w:cs="仿宋_GB2312" w:eastAsia="仿宋_GB2312"/>
                <w:sz w:val="22"/>
              </w:rPr>
              <w:t>6千兆电口,</w:t>
            </w:r>
            <w:r>
              <w:rPr>
                <w:rFonts w:ascii="仿宋_GB2312" w:hAnsi="仿宋_GB2312" w:cs="仿宋_GB2312" w:eastAsia="仿宋_GB2312"/>
                <w:sz w:val="21"/>
              </w:rPr>
              <w:t>≥</w:t>
            </w:r>
            <w:r>
              <w:rPr>
                <w:rFonts w:ascii="仿宋_GB2312" w:hAnsi="仿宋_GB2312" w:cs="仿宋_GB2312" w:eastAsia="仿宋_GB2312"/>
                <w:sz w:val="22"/>
              </w:rPr>
              <w:t>4个千兆光口。</w:t>
            </w:r>
            <w:r>
              <w:br/>
            </w:r>
            <w:r>
              <w:rPr>
                <w:rFonts w:ascii="仿宋_GB2312" w:hAnsi="仿宋_GB2312" w:cs="仿宋_GB2312" w:eastAsia="仿宋_GB2312"/>
                <w:sz w:val="22"/>
              </w:rPr>
              <w:t>2、支持同时审计多种数据库及跨多种数据库平台操作。</w:t>
            </w:r>
            <w:r>
              <w:br/>
            </w:r>
            <w:r>
              <w:rPr>
                <w:rFonts w:ascii="仿宋_GB2312" w:hAnsi="仿宋_GB2312" w:cs="仿宋_GB2312" w:eastAsia="仿宋_GB2312"/>
                <w:sz w:val="22"/>
              </w:rPr>
              <w:t>3、支持设置和分析正常访问和异常访问视图。</w:t>
            </w:r>
            <w:r>
              <w:br/>
            </w:r>
            <w:r>
              <w:rPr>
                <w:rFonts w:ascii="仿宋_GB2312" w:hAnsi="仿宋_GB2312" w:cs="仿宋_GB2312" w:eastAsia="仿宋_GB2312"/>
                <w:sz w:val="22"/>
              </w:rPr>
              <w:t>4、支持精细化日志秒级查询。</w:t>
            </w:r>
            <w:r>
              <w:br/>
            </w:r>
            <w:r>
              <w:rPr>
                <w:rFonts w:ascii="仿宋_GB2312" w:hAnsi="仿宋_GB2312" w:cs="仿宋_GB2312" w:eastAsia="仿宋_GB2312"/>
                <w:sz w:val="22"/>
              </w:rPr>
              <w:t>5、</w:t>
            </w:r>
            <w:r>
              <w:rPr>
                <w:rFonts w:ascii="仿宋_GB2312" w:hAnsi="仿宋_GB2312" w:cs="仿宋_GB2312" w:eastAsia="仿宋_GB2312"/>
                <w:sz w:val="22"/>
              </w:rPr>
              <w:t>三年以上（含）质保服务及五年以上（含）软件升级服务和授权</w:t>
            </w:r>
            <w:r>
              <w:rPr>
                <w:rFonts w:ascii="仿宋_GB2312" w:hAnsi="仿宋_GB2312" w:cs="仿宋_GB2312" w:eastAsia="仿宋_GB2312"/>
                <w:sz w:val="22"/>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漏洞扫描</w:t>
            </w:r>
          </w:p>
        </w:tc>
        <w:tc>
          <w:tcPr>
            <w:tcW w:type="dxa" w:w="6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1、授权:系统漏扫授权IP数</w:t>
            </w:r>
            <w:r>
              <w:rPr>
                <w:rFonts w:ascii="仿宋_GB2312" w:hAnsi="仿宋_GB2312" w:cs="仿宋_GB2312" w:eastAsia="仿宋_GB2312"/>
                <w:sz w:val="21"/>
              </w:rPr>
              <w:t>≥</w:t>
            </w:r>
            <w:r>
              <w:rPr>
                <w:rFonts w:ascii="仿宋_GB2312" w:hAnsi="仿宋_GB2312" w:cs="仿宋_GB2312" w:eastAsia="仿宋_GB2312"/>
                <w:sz w:val="22"/>
              </w:rPr>
              <w:t>1000，WEB漏扫授权URL数</w:t>
            </w:r>
            <w:r>
              <w:rPr>
                <w:rFonts w:ascii="仿宋_GB2312" w:hAnsi="仿宋_GB2312" w:cs="仿宋_GB2312" w:eastAsia="仿宋_GB2312"/>
                <w:sz w:val="21"/>
              </w:rPr>
              <w:t>≥</w:t>
            </w:r>
            <w:r>
              <w:rPr>
                <w:rFonts w:ascii="仿宋_GB2312" w:hAnsi="仿宋_GB2312" w:cs="仿宋_GB2312" w:eastAsia="仿宋_GB2312"/>
                <w:sz w:val="22"/>
              </w:rPr>
              <w:t>200;性能指标:主机漏扫最大并发IP数</w:t>
            </w:r>
            <w:r>
              <w:rPr>
                <w:rFonts w:ascii="仿宋_GB2312" w:hAnsi="仿宋_GB2312" w:cs="仿宋_GB2312" w:eastAsia="仿宋_GB2312"/>
                <w:sz w:val="21"/>
              </w:rPr>
              <w:t>≥</w:t>
            </w:r>
            <w:r>
              <w:rPr>
                <w:rFonts w:ascii="仿宋_GB2312" w:hAnsi="仿宋_GB2312" w:cs="仿宋_GB2312" w:eastAsia="仿宋_GB2312"/>
                <w:sz w:val="22"/>
              </w:rPr>
              <w:t>450，WEB漏扫最大并发URL数</w:t>
            </w:r>
            <w:r>
              <w:rPr>
                <w:rFonts w:ascii="仿宋_GB2312" w:hAnsi="仿宋_GB2312" w:cs="仿宋_GB2312" w:eastAsia="仿宋_GB2312"/>
                <w:sz w:val="21"/>
              </w:rPr>
              <w:t>≥</w:t>
            </w:r>
            <w:r>
              <w:rPr>
                <w:rFonts w:ascii="仿宋_GB2312" w:hAnsi="仿宋_GB2312" w:cs="仿宋_GB2312" w:eastAsia="仿宋_GB2312"/>
                <w:sz w:val="22"/>
              </w:rPr>
              <w:t>15。硬件参数:国产化操作系统和国产化CPU，内存大小</w:t>
            </w:r>
            <w:r>
              <w:rPr>
                <w:rFonts w:ascii="仿宋_GB2312" w:hAnsi="仿宋_GB2312" w:cs="仿宋_GB2312" w:eastAsia="仿宋_GB2312"/>
                <w:sz w:val="21"/>
              </w:rPr>
              <w:t>≥</w:t>
            </w:r>
            <w:r>
              <w:rPr>
                <w:rFonts w:ascii="仿宋_GB2312" w:hAnsi="仿宋_GB2312" w:cs="仿宋_GB2312" w:eastAsia="仿宋_GB2312"/>
                <w:sz w:val="22"/>
              </w:rPr>
              <w:t>32G，硬盘容量</w:t>
            </w:r>
            <w:r>
              <w:rPr>
                <w:rFonts w:ascii="仿宋_GB2312" w:hAnsi="仿宋_GB2312" w:cs="仿宋_GB2312" w:eastAsia="仿宋_GB2312"/>
                <w:sz w:val="21"/>
              </w:rPr>
              <w:t>≥</w:t>
            </w:r>
            <w:r>
              <w:rPr>
                <w:rFonts w:ascii="仿宋_GB2312" w:hAnsi="仿宋_GB2312" w:cs="仿宋_GB2312" w:eastAsia="仿宋_GB2312"/>
                <w:sz w:val="22"/>
              </w:rPr>
              <w:t>128GSSD+4TB，冗余电源，接口</w:t>
            </w:r>
            <w:r>
              <w:rPr>
                <w:rFonts w:ascii="仿宋_GB2312" w:hAnsi="仿宋_GB2312" w:cs="仿宋_GB2312" w:eastAsia="仿宋_GB2312"/>
                <w:sz w:val="21"/>
              </w:rPr>
              <w:t>≥</w:t>
            </w:r>
            <w:r>
              <w:rPr>
                <w:rFonts w:ascii="仿宋_GB2312" w:hAnsi="仿宋_GB2312" w:cs="仿宋_GB2312" w:eastAsia="仿宋_GB2312"/>
                <w:sz w:val="22"/>
              </w:rPr>
              <w:t>4千兆电口，</w:t>
            </w:r>
            <w:r>
              <w:rPr>
                <w:rFonts w:ascii="仿宋_GB2312" w:hAnsi="仿宋_GB2312" w:cs="仿宋_GB2312" w:eastAsia="仿宋_GB2312"/>
                <w:sz w:val="21"/>
              </w:rPr>
              <w:t>≥</w:t>
            </w:r>
            <w:r>
              <w:rPr>
                <w:rFonts w:ascii="仿宋_GB2312" w:hAnsi="仿宋_GB2312" w:cs="仿宋_GB2312" w:eastAsia="仿宋_GB2312"/>
                <w:sz w:val="22"/>
              </w:rPr>
              <w:t>4千兆光口SFP，</w:t>
            </w:r>
            <w:r>
              <w:rPr>
                <w:rFonts w:ascii="仿宋_GB2312" w:hAnsi="仿宋_GB2312" w:cs="仿宋_GB2312" w:eastAsia="仿宋_GB2312"/>
                <w:sz w:val="21"/>
              </w:rPr>
              <w:t>≥</w:t>
            </w:r>
            <w:r>
              <w:rPr>
                <w:rFonts w:ascii="仿宋_GB2312" w:hAnsi="仿宋_GB2312" w:cs="仿宋_GB2312" w:eastAsia="仿宋_GB2312"/>
                <w:sz w:val="22"/>
              </w:rPr>
              <w:t>2万兆光口SFP+。</w:t>
            </w:r>
            <w:r>
              <w:br/>
            </w:r>
            <w:r>
              <w:rPr>
                <w:rFonts w:ascii="仿宋_GB2312" w:hAnsi="仿宋_GB2312" w:cs="仿宋_GB2312" w:eastAsia="仿宋_GB2312"/>
                <w:sz w:val="22"/>
              </w:rPr>
              <w:t>2、支持资产发现、系统漏洞扫描、弱口令扫描、WEB漏洞扫描、基线配置核查等任务类型，其中快速扫描支持系统漏洞扫描、WEB漏洞扫描、弱口令扫描同时执行。</w:t>
            </w:r>
            <w:r>
              <w:br/>
            </w:r>
            <w:r>
              <w:rPr>
                <w:rFonts w:ascii="仿宋_GB2312" w:hAnsi="仿宋_GB2312" w:cs="仿宋_GB2312" w:eastAsia="仿宋_GB2312"/>
                <w:sz w:val="22"/>
              </w:rPr>
              <w:t>3、支持对操作系统、数据库、中间件等按照等保二级、等保三级要求实施基线配置核查。</w:t>
            </w:r>
            <w:r>
              <w:br/>
            </w:r>
            <w:r>
              <w:rPr>
                <w:rFonts w:ascii="仿宋_GB2312" w:hAnsi="仿宋_GB2312" w:cs="仿宋_GB2312" w:eastAsia="仿宋_GB2312"/>
                <w:sz w:val="22"/>
              </w:rPr>
              <w:t>4、支持通过SSH、TELNET、SMB等协议登录到跳板机，然后再跳转到远程目标主机进行配置核查，跳转次数不限制。</w:t>
            </w:r>
            <w:r>
              <w:br/>
            </w:r>
            <w:r>
              <w:rPr>
                <w:rFonts w:ascii="仿宋_GB2312" w:hAnsi="仿宋_GB2312" w:cs="仿宋_GB2312" w:eastAsia="仿宋_GB2312"/>
                <w:sz w:val="22"/>
              </w:rPr>
              <w:t>5、支持对多种服务协议的弱口令猜解，包括FTP、IMAP、MicrosoftSL、MySqL、PcAnywhere、POP3、SMB.Telnet、VNC、SSH、RDP、ORACLE、Rsync、SMTP、VMware等。</w:t>
            </w:r>
            <w:r>
              <w:br/>
            </w:r>
            <w:r>
              <w:rPr>
                <w:rFonts w:ascii="仿宋_GB2312" w:hAnsi="仿宋_GB2312" w:cs="仿宋_GB2312" w:eastAsia="仿宋_GB2312"/>
                <w:sz w:val="22"/>
              </w:rPr>
              <w:t>6、</w:t>
            </w:r>
            <w:r>
              <w:rPr>
                <w:rFonts w:ascii="仿宋_GB2312" w:hAnsi="仿宋_GB2312" w:cs="仿宋_GB2312" w:eastAsia="仿宋_GB2312"/>
                <w:sz w:val="22"/>
              </w:rPr>
              <w:t>三年以上（含）质保服务及五年以上（含）软件升级服务和授权</w:t>
            </w:r>
            <w:r>
              <w:rPr>
                <w:rFonts w:ascii="仿宋_GB2312" w:hAnsi="仿宋_GB2312" w:cs="仿宋_GB2312" w:eastAsia="仿宋_GB2312"/>
                <w:sz w:val="22"/>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流量探针</w:t>
            </w:r>
          </w:p>
        </w:tc>
        <w:tc>
          <w:tcPr>
            <w:tcW w:type="dxa" w:w="6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1、性能参数:网络层吞吐量</w:t>
            </w:r>
            <w:r>
              <w:rPr>
                <w:rFonts w:ascii="仿宋_GB2312" w:hAnsi="仿宋_GB2312" w:cs="仿宋_GB2312" w:eastAsia="仿宋_GB2312"/>
                <w:sz w:val="21"/>
              </w:rPr>
              <w:t>≥</w:t>
            </w:r>
            <w:r>
              <w:rPr>
                <w:rFonts w:ascii="仿宋_GB2312" w:hAnsi="仿宋_GB2312" w:cs="仿宋_GB2312" w:eastAsia="仿宋_GB2312"/>
                <w:sz w:val="22"/>
              </w:rPr>
              <w:t>3Gbps，应用层吞吐量</w:t>
            </w:r>
            <w:r>
              <w:rPr>
                <w:rFonts w:ascii="仿宋_GB2312" w:hAnsi="仿宋_GB2312" w:cs="仿宋_GB2312" w:eastAsia="仿宋_GB2312"/>
                <w:sz w:val="21"/>
              </w:rPr>
              <w:t>≥</w:t>
            </w:r>
            <w:r>
              <w:rPr>
                <w:rFonts w:ascii="仿宋_GB2312" w:hAnsi="仿宋_GB2312" w:cs="仿宋_GB2312" w:eastAsia="仿宋_GB2312"/>
                <w:sz w:val="22"/>
              </w:rPr>
              <w:t>1Gbps。 硬件参数:国产化操作系统国产化CPU，内存大小</w:t>
            </w:r>
            <w:r>
              <w:rPr>
                <w:rFonts w:ascii="仿宋_GB2312" w:hAnsi="仿宋_GB2312" w:cs="仿宋_GB2312" w:eastAsia="仿宋_GB2312"/>
                <w:sz w:val="21"/>
              </w:rPr>
              <w:t>≥</w:t>
            </w:r>
            <w:r>
              <w:rPr>
                <w:rFonts w:ascii="仿宋_GB2312" w:hAnsi="仿宋_GB2312" w:cs="仿宋_GB2312" w:eastAsia="仿宋_GB2312"/>
                <w:sz w:val="22"/>
              </w:rPr>
              <w:t>16G，硬盘容量</w:t>
            </w:r>
            <w:r>
              <w:rPr>
                <w:rFonts w:ascii="仿宋_GB2312" w:hAnsi="仿宋_GB2312" w:cs="仿宋_GB2312" w:eastAsia="仿宋_GB2312"/>
                <w:sz w:val="21"/>
              </w:rPr>
              <w:t>≥</w:t>
            </w:r>
            <w:r>
              <w:rPr>
                <w:rFonts w:ascii="仿宋_GB2312" w:hAnsi="仿宋_GB2312" w:cs="仿宋_GB2312" w:eastAsia="仿宋_GB2312"/>
                <w:sz w:val="22"/>
              </w:rPr>
              <w:t>480GSSD，单电源，接口</w:t>
            </w:r>
            <w:r>
              <w:rPr>
                <w:rFonts w:ascii="仿宋_GB2312" w:hAnsi="仿宋_GB2312" w:cs="仿宋_GB2312" w:eastAsia="仿宋_GB2312"/>
                <w:sz w:val="21"/>
              </w:rPr>
              <w:t>≥</w:t>
            </w:r>
            <w:r>
              <w:rPr>
                <w:rFonts w:ascii="仿宋_GB2312" w:hAnsi="仿宋_GB2312" w:cs="仿宋_GB2312" w:eastAsia="仿宋_GB2312"/>
                <w:sz w:val="22"/>
              </w:rPr>
              <w:t>6千兆电口，</w:t>
            </w:r>
            <w:r>
              <w:rPr>
                <w:rFonts w:ascii="仿宋_GB2312" w:hAnsi="仿宋_GB2312" w:cs="仿宋_GB2312" w:eastAsia="仿宋_GB2312"/>
                <w:sz w:val="21"/>
              </w:rPr>
              <w:t>≥</w:t>
            </w:r>
            <w:r>
              <w:rPr>
                <w:rFonts w:ascii="仿宋_GB2312" w:hAnsi="仿宋_GB2312" w:cs="仿宋_GB2312" w:eastAsia="仿宋_GB2312"/>
                <w:sz w:val="22"/>
              </w:rPr>
              <w:t>2万兆光口SFP+。</w:t>
            </w:r>
            <w:r>
              <w:br/>
            </w:r>
            <w:r>
              <w:rPr>
                <w:rFonts w:ascii="仿宋_GB2312" w:hAnsi="仿宋_GB2312" w:cs="仿宋_GB2312" w:eastAsia="仿宋_GB2312"/>
                <w:sz w:val="22"/>
              </w:rPr>
              <w:t>2、支持SQL注入、XSS攻击、网页木马、网站扫描、WEBSHEL、跨站请求伪造、系统命令注入、文件包含攻击目录遍历攻击、信息泄露攻击、Web整站系统漏洞等网站攻击检测。</w:t>
            </w:r>
            <w:r>
              <w:br/>
            </w:r>
            <w:r>
              <w:rPr>
                <w:rFonts w:ascii="仿宋_GB2312" w:hAnsi="仿宋_GB2312" w:cs="仿宋_GB2312" w:eastAsia="仿宋_GB2312"/>
                <w:sz w:val="22"/>
              </w:rPr>
              <w:t>3、支持传输协议审计日志，包括https协议日志、http协议审计日志等。</w:t>
            </w:r>
            <w:r>
              <w:br/>
            </w:r>
            <w:r>
              <w:rPr>
                <w:rFonts w:ascii="仿宋_GB2312" w:hAnsi="仿宋_GB2312" w:cs="仿宋_GB2312" w:eastAsia="仿宋_GB2312"/>
                <w:sz w:val="22"/>
              </w:rPr>
              <w:t>4、支持将流量还原的文件发送至沙盒进行静态检测和动态模拟执行，可支持第三方沙盒对接。</w:t>
            </w:r>
            <w:r>
              <w:br/>
            </w:r>
            <w:r>
              <w:rPr>
                <w:rFonts w:ascii="仿宋_GB2312" w:hAnsi="仿宋_GB2312" w:cs="仿宋_GB2312" w:eastAsia="仿宋_GB2312"/>
                <w:sz w:val="22"/>
              </w:rPr>
              <w:t>5、支持敏感数据泄密功能检测能力，可自定义敏感信息，支持根据文件类型和敏感关键字进行信息过滤。</w:t>
            </w:r>
            <w:r>
              <w:br/>
            </w:r>
            <w:r>
              <w:rPr>
                <w:rFonts w:ascii="仿宋_GB2312" w:hAnsi="仿宋_GB2312" w:cs="仿宋_GB2312" w:eastAsia="仿宋_GB2312"/>
                <w:sz w:val="22"/>
              </w:rPr>
              <w:t>6、支持Database漏洞攻击、DNS漏洞攻击、FTP漏洞攻击、Mail漏洞攻击、Network Device、Media漏洞攻击、Shellcode漏洞攻击、Scan漏洞攻击、System漏洞攻击、Telnet漏洞攻击、Tftp漏洞攻击、IPS云防护、Web漏洞攻击等服务漏洞攻击检测。</w:t>
            </w:r>
            <w:r>
              <w:br/>
            </w:r>
            <w:r>
              <w:rPr>
                <w:rFonts w:ascii="仿宋_GB2312" w:hAnsi="仿宋_GB2312" w:cs="仿宋_GB2312" w:eastAsia="仿宋_GB2312"/>
                <w:sz w:val="22"/>
              </w:rPr>
              <w:t>7、</w:t>
            </w:r>
            <w:r>
              <w:rPr>
                <w:rFonts w:ascii="仿宋_GB2312" w:hAnsi="仿宋_GB2312" w:cs="仿宋_GB2312" w:eastAsia="仿宋_GB2312"/>
                <w:sz w:val="22"/>
              </w:rPr>
              <w:t>三年以上（含）质保服务及五年以上（含）软件升级服务和授权</w:t>
            </w:r>
            <w:r>
              <w:rPr>
                <w:rFonts w:ascii="仿宋_GB2312" w:hAnsi="仿宋_GB2312" w:cs="仿宋_GB2312" w:eastAsia="仿宋_GB2312"/>
                <w:sz w:val="22"/>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堡垒机</w:t>
            </w:r>
          </w:p>
        </w:tc>
        <w:tc>
          <w:tcPr>
            <w:tcW w:type="dxa" w:w="6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性能参数</w:t>
            </w:r>
            <w:r>
              <w:rPr>
                <w:rFonts w:ascii="仿宋_GB2312" w:hAnsi="仿宋_GB2312" w:cs="仿宋_GB2312" w:eastAsia="仿宋_GB2312"/>
                <w:sz w:val="22"/>
              </w:rPr>
              <w:t>:授权资源数:</w:t>
            </w:r>
            <w:r>
              <w:rPr>
                <w:rFonts w:ascii="仿宋_GB2312" w:hAnsi="仿宋_GB2312" w:cs="仿宋_GB2312" w:eastAsia="仿宋_GB2312"/>
                <w:sz w:val="21"/>
              </w:rPr>
              <w:t>≥</w:t>
            </w:r>
            <w:r>
              <w:rPr>
                <w:rFonts w:ascii="仿宋_GB2312" w:hAnsi="仿宋_GB2312" w:cs="仿宋_GB2312" w:eastAsia="仿宋_GB2312"/>
                <w:sz w:val="22"/>
              </w:rPr>
              <w:t>50点授权，并发数</w:t>
            </w:r>
            <w:r>
              <w:rPr>
                <w:rFonts w:ascii="仿宋_GB2312" w:hAnsi="仿宋_GB2312" w:cs="仿宋_GB2312" w:eastAsia="仿宋_GB2312"/>
                <w:sz w:val="21"/>
              </w:rPr>
              <w:t>≥</w:t>
            </w:r>
            <w:r>
              <w:rPr>
                <w:rFonts w:ascii="仿宋_GB2312" w:hAnsi="仿宋_GB2312" w:cs="仿宋_GB2312" w:eastAsia="仿宋_GB2312"/>
                <w:sz w:val="22"/>
              </w:rPr>
              <w:t>字符</w:t>
            </w:r>
            <w:r>
              <w:rPr>
                <w:rFonts w:ascii="仿宋_GB2312" w:hAnsi="仿宋_GB2312" w:cs="仿宋_GB2312" w:eastAsia="仿宋_GB2312"/>
                <w:sz w:val="22"/>
              </w:rPr>
              <w:t>100/图形50。</w:t>
            </w:r>
            <w:r>
              <w:br/>
            </w:r>
            <w:r>
              <w:rPr>
                <w:rFonts w:ascii="仿宋_GB2312" w:hAnsi="仿宋_GB2312" w:cs="仿宋_GB2312" w:eastAsia="仿宋_GB2312"/>
                <w:sz w:val="22"/>
              </w:rPr>
              <w:t>2、硬件参数:国产化操作系统和国产化CPU，内存大小</w:t>
            </w:r>
            <w:r>
              <w:rPr>
                <w:rFonts w:ascii="仿宋_GB2312" w:hAnsi="仿宋_GB2312" w:cs="仿宋_GB2312" w:eastAsia="仿宋_GB2312"/>
                <w:sz w:val="21"/>
              </w:rPr>
              <w:t>≥</w:t>
            </w:r>
            <w:r>
              <w:rPr>
                <w:rFonts w:ascii="仿宋_GB2312" w:hAnsi="仿宋_GB2312" w:cs="仿宋_GB2312" w:eastAsia="仿宋_GB2312"/>
                <w:sz w:val="22"/>
              </w:rPr>
              <w:t>16G，硬盘容量</w:t>
            </w:r>
            <w:r>
              <w:rPr>
                <w:rFonts w:ascii="仿宋_GB2312" w:hAnsi="仿宋_GB2312" w:cs="仿宋_GB2312" w:eastAsia="仿宋_GB2312"/>
                <w:sz w:val="21"/>
              </w:rPr>
              <w:t>≥</w:t>
            </w:r>
            <w:r>
              <w:rPr>
                <w:rFonts w:ascii="仿宋_GB2312" w:hAnsi="仿宋_GB2312" w:cs="仿宋_GB2312" w:eastAsia="仿宋_GB2312"/>
                <w:sz w:val="22"/>
              </w:rPr>
              <w:t>64GBSSD+1TBSATA，单电源，接口</w:t>
            </w:r>
            <w:r>
              <w:rPr>
                <w:rFonts w:ascii="仿宋_GB2312" w:hAnsi="仿宋_GB2312" w:cs="仿宋_GB2312" w:eastAsia="仿宋_GB2312"/>
                <w:sz w:val="21"/>
              </w:rPr>
              <w:t>≥</w:t>
            </w:r>
            <w:r>
              <w:rPr>
                <w:rFonts w:ascii="仿宋_GB2312" w:hAnsi="仿宋_GB2312" w:cs="仿宋_GB2312" w:eastAsia="仿宋_GB2312"/>
                <w:sz w:val="22"/>
              </w:rPr>
              <w:t>6千兆电口&gt;4千兆光口SFP。</w:t>
            </w:r>
            <w:r>
              <w:br/>
            </w:r>
            <w:r>
              <w:rPr>
                <w:rFonts w:ascii="仿宋_GB2312" w:hAnsi="仿宋_GB2312" w:cs="仿宋_GB2312" w:eastAsia="仿宋_GB2312"/>
                <w:sz w:val="22"/>
              </w:rPr>
              <w:t>3、能够对访问进行审批，支持自定义多级审批流程。</w:t>
            </w:r>
            <w:r>
              <w:br/>
            </w:r>
            <w:r>
              <w:rPr>
                <w:rFonts w:ascii="仿宋_GB2312" w:hAnsi="仿宋_GB2312" w:cs="仿宋_GB2312" w:eastAsia="仿宋_GB2312"/>
                <w:sz w:val="22"/>
              </w:rPr>
              <w:t>4、操作系统:支持Windows、linux、国产麒麟系统、Android、I0S、Mac 0s等客户端。</w:t>
            </w:r>
            <w:r>
              <w:br/>
            </w:r>
            <w:r>
              <w:rPr>
                <w:rFonts w:ascii="仿宋_GB2312" w:hAnsi="仿宋_GB2312" w:cs="仿宋_GB2312" w:eastAsia="仿宋_GB2312"/>
                <w:sz w:val="22"/>
              </w:rPr>
              <w:t>5、支持定期变更目标设备真实口令，支持自定义口令变更周期和口令强度。口令变更方式至少支持手动指定固定口令、通过密码表生成口令、依照设备挂载的口令策略生成随机口令、依照密码策略生成同一口令等方式。</w:t>
            </w:r>
            <w:r>
              <w:br/>
            </w:r>
            <w:r>
              <w:rPr>
                <w:rFonts w:ascii="仿宋_GB2312" w:hAnsi="仿宋_GB2312" w:cs="仿宋_GB2312" w:eastAsia="仿宋_GB2312"/>
                <w:sz w:val="22"/>
              </w:rPr>
              <w:t>6、支持紧急运维流程，当运维人员需对目标设备进行紧急运维时，可通过紧急运维流程直接访问目标设备同时记录为紧急运维工单，便于相关审批人事后对该流程进行确认以及审计员事后查看。</w:t>
            </w:r>
            <w:r>
              <w:br/>
            </w:r>
            <w:r>
              <w:rPr>
                <w:rFonts w:ascii="仿宋_GB2312" w:hAnsi="仿宋_GB2312" w:cs="仿宋_GB2312" w:eastAsia="仿宋_GB2312"/>
                <w:sz w:val="22"/>
              </w:rPr>
              <w:t>7、</w:t>
            </w:r>
            <w:r>
              <w:rPr>
                <w:rFonts w:ascii="仿宋_GB2312" w:hAnsi="仿宋_GB2312" w:cs="仿宋_GB2312" w:eastAsia="仿宋_GB2312"/>
                <w:sz w:val="22"/>
              </w:rPr>
              <w:t>支持按照事件的来源、类型、发生总数进行统计，并将统计的事件转换成统一格式，以便于理解的方式显示。</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22"/>
              </w:rPr>
              <w:t>支持用户登录账号、用户登录时间、控制对象账号这三种方式的命令控制策略</w:t>
            </w:r>
            <w:r>
              <w:rPr>
                <w:rFonts w:ascii="仿宋_GB2312" w:hAnsi="仿宋_GB2312" w:cs="仿宋_GB2312" w:eastAsia="仿宋_GB2312"/>
                <w:sz w:val="22"/>
              </w:rPr>
              <w:t>。</w:t>
            </w:r>
            <w:r>
              <w:rPr>
                <w:rFonts w:ascii="仿宋_GB2312" w:hAnsi="仿宋_GB2312" w:cs="仿宋_GB2312" w:eastAsia="仿宋_GB2312"/>
                <w:sz w:val="22"/>
                <w:b/>
              </w:rPr>
              <w:t>（需提供《承担网络关键设备和网络安全专用产品安全认证和安全检测任务机构名录》中的检测机构出具的检测报告扫描件，技术要求以检测报告的检测结果为评判依据。）</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三年以上（含）质保服务及五年以上（含）软件升级服务和授权。</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服务器病毒防护</w:t>
            </w:r>
          </w:p>
        </w:tc>
        <w:tc>
          <w:tcPr>
            <w:tcW w:type="dxa" w:w="6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1、提供5台服务器病毒防护授权。</w:t>
            </w:r>
            <w:r>
              <w:br/>
            </w:r>
            <w:r>
              <w:rPr>
                <w:rFonts w:ascii="仿宋_GB2312" w:hAnsi="仿宋_GB2312" w:cs="仿宋_GB2312" w:eastAsia="仿宋_GB2312"/>
                <w:sz w:val="22"/>
              </w:rPr>
              <w:t>2、病毒防护产品需支持与现有的终端病毒防护产品统一纳管，通过同一管控平台进行安全升级及策略下发。</w:t>
            </w:r>
            <w:r>
              <w:br/>
            </w:r>
            <w:r>
              <w:rPr>
                <w:rFonts w:ascii="仿宋_GB2312" w:hAnsi="仿宋_GB2312" w:cs="仿宋_GB2312" w:eastAsia="仿宋_GB2312"/>
                <w:sz w:val="22"/>
              </w:rPr>
              <w:t>3、提供自主知识产权的防病毒引擎；提供基于程序行为的独立恶意行为监控引擎，基于进程的操作行为和序列组合来应对未知威胁，包括：重复的系统文件，Hosts文件修改，可疑行为，新IE插件，IE设置修改，安全策略修改，动态链接库注入，Shell修改，新服务，系统文件修改，防火墙策略修改，系统进程修改，新启动程序等。</w:t>
            </w:r>
            <w:r>
              <w:br/>
            </w:r>
            <w:r>
              <w:rPr>
                <w:rFonts w:ascii="仿宋_GB2312" w:hAnsi="仿宋_GB2312" w:cs="仿宋_GB2312" w:eastAsia="仿宋_GB2312"/>
                <w:sz w:val="22"/>
              </w:rPr>
              <w:t xml:space="preserve">4、具备预测机器学习技术，可检测可疑进程中或来自可移动存储、Web邮件等各渠道的文件中的新兴未知安全风险威胁。 </w:t>
            </w:r>
            <w:r>
              <w:br/>
            </w:r>
            <w:r>
              <w:rPr>
                <w:rFonts w:ascii="仿宋_GB2312" w:hAnsi="仿宋_GB2312" w:cs="仿宋_GB2312" w:eastAsia="仿宋_GB2312"/>
                <w:sz w:val="22"/>
              </w:rPr>
              <w:t>5、支持针对不同病毒类型针对性设置处置措施，可设定清除动作前，备份文件。</w:t>
            </w:r>
            <w:r>
              <w:br/>
            </w:r>
            <w:r>
              <w:rPr>
                <w:rFonts w:ascii="仿宋_GB2312" w:hAnsi="仿宋_GB2312" w:cs="仿宋_GB2312" w:eastAsia="仿宋_GB2312"/>
                <w:sz w:val="22"/>
              </w:rPr>
              <w:t>6、支持客户端的防卸载功能，避免用户自行卸载，管理员可设置卸载密码；支持客户端的防退出功能，避免用户恶意退出，管理员可设置退出密码。</w:t>
            </w:r>
            <w:r>
              <w:br/>
            </w:r>
            <w:r>
              <w:rPr>
                <w:rFonts w:ascii="仿宋_GB2312" w:hAnsi="仿宋_GB2312" w:cs="仿宋_GB2312" w:eastAsia="仿宋_GB2312"/>
                <w:sz w:val="22"/>
              </w:rPr>
              <w:t>7、</w:t>
            </w:r>
            <w:r>
              <w:rPr>
                <w:rFonts w:ascii="仿宋_GB2312" w:hAnsi="仿宋_GB2312" w:cs="仿宋_GB2312" w:eastAsia="仿宋_GB2312"/>
                <w:sz w:val="22"/>
              </w:rPr>
              <w:t>三年以上（含）质保服务及五年以上（含）软件升级服务和授权</w:t>
            </w:r>
            <w:r>
              <w:rPr>
                <w:rFonts w:ascii="仿宋_GB2312" w:hAnsi="仿宋_GB2312" w:cs="仿宋_GB2312" w:eastAsia="仿宋_GB2312"/>
                <w:sz w:val="22"/>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5套</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日志审计</w:t>
            </w:r>
          </w:p>
        </w:tc>
        <w:tc>
          <w:tcPr>
            <w:tcW w:type="dxa" w:w="6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22"/>
              </w:rPr>
              <w:t>标准机架式</w:t>
            </w:r>
            <w:r>
              <w:rPr>
                <w:rFonts w:ascii="仿宋_GB2312" w:hAnsi="仿宋_GB2312" w:cs="仿宋_GB2312" w:eastAsia="仿宋_GB2312"/>
                <w:sz w:val="22"/>
              </w:rPr>
              <w:t>2U设备，</w:t>
            </w:r>
            <w:r>
              <w:rPr>
                <w:rFonts w:ascii="仿宋_GB2312" w:hAnsi="仿宋_GB2312" w:cs="仿宋_GB2312" w:eastAsia="仿宋_GB2312"/>
                <w:sz w:val="21"/>
              </w:rPr>
              <w:t>≥</w:t>
            </w:r>
            <w:r>
              <w:rPr>
                <w:rFonts w:ascii="仿宋_GB2312" w:hAnsi="仿宋_GB2312" w:cs="仿宋_GB2312" w:eastAsia="仿宋_GB2312"/>
                <w:sz w:val="22"/>
              </w:rPr>
              <w:t>2个千兆电口，最大支持5个扩展槽:为确保系统性能，系统盘与数据盘分开存储，系统硬盘≥480GB 国产SSD ，数据盘≥4TB ；冗余电源；事件处理能力EPS：≥3000；峰值日志处理能力≥15000EPS。</w:t>
            </w:r>
            <w:r>
              <w:br/>
            </w:r>
            <w:r>
              <w:rPr>
                <w:rFonts w:ascii="仿宋_GB2312" w:hAnsi="仿宋_GB2312" w:cs="仿宋_GB2312" w:eastAsia="仿宋_GB2312"/>
                <w:sz w:val="22"/>
              </w:rPr>
              <w:t>2、日志采集解析至少包括直接信息解析和补全解析，直接信息包括日志中涵盖的信息，比如IP，事件类型等，日志采集解析至少支持正则解析、JSON 解析、键值对解析等解析策略，系统内置常见厂商设备的日志解析策略，支持自定义日志解析策略，其中正则解析支持通过机器学习方式对多种样本日志分析处理并智能生成可直接使用的正则表达式，使普通用户也能添加自定义日志解析策略。补全信息至少包括资产名称，资产编码，所属人员，组织，归属业务域，归属安全域，厂家，操作系统名称等。</w:t>
            </w:r>
            <w:r>
              <w:br/>
            </w:r>
            <w:r>
              <w:rPr>
                <w:rFonts w:ascii="仿宋_GB2312" w:hAnsi="仿宋_GB2312" w:cs="仿宋_GB2312" w:eastAsia="仿宋_GB2312"/>
                <w:sz w:val="22"/>
              </w:rPr>
              <w:t>3、支持用户行为回潮,针对高危行为进行全路径的历史回溯关联分析，并可导出相关日志。</w:t>
            </w:r>
            <w:r>
              <w:br/>
            </w:r>
            <w:r>
              <w:rPr>
                <w:rFonts w:ascii="仿宋_GB2312" w:hAnsi="仿宋_GB2312" w:cs="仿宋_GB2312" w:eastAsia="仿宋_GB2312"/>
                <w:sz w:val="22"/>
              </w:rPr>
              <w:t>4、支持按照省厅、市局等上级部门接口规范，对单位现有防火墙、IPS/IDS、WAF、态势感知及数据库审计设备的日志进行解析转换，实现与省厅、市局等上级部门的日志审计平台、安全管理平台威胁采集分析系统的对接，完成日志上报工作。</w:t>
            </w:r>
            <w:r>
              <w:br/>
            </w:r>
            <w:r>
              <w:rPr>
                <w:rFonts w:ascii="仿宋_GB2312" w:hAnsi="仿宋_GB2312" w:cs="仿宋_GB2312" w:eastAsia="仿宋_GB2312"/>
                <w:sz w:val="22"/>
              </w:rPr>
              <w:t>5、</w:t>
            </w:r>
            <w:r>
              <w:rPr>
                <w:rFonts w:ascii="仿宋_GB2312" w:hAnsi="仿宋_GB2312" w:cs="仿宋_GB2312" w:eastAsia="仿宋_GB2312"/>
                <w:sz w:val="22"/>
              </w:rPr>
              <w:t>三年以上（含）质保服务及五年以上（含）软件升级服务和授权</w:t>
            </w:r>
            <w:r>
              <w:rPr>
                <w:rFonts w:ascii="仿宋_GB2312" w:hAnsi="仿宋_GB2312" w:cs="仿宋_GB2312" w:eastAsia="仿宋_GB2312"/>
                <w:sz w:val="22"/>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1台</w:t>
            </w:r>
          </w:p>
        </w:tc>
      </w:tr>
      <w:tr>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准入系统</w:t>
            </w:r>
          </w:p>
        </w:tc>
        <w:tc>
          <w:tcPr>
            <w:tcW w:type="dxa" w:w="6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1、标准机架式2U设备，</w:t>
            </w:r>
            <w:r>
              <w:rPr>
                <w:rFonts w:ascii="仿宋_GB2312" w:hAnsi="仿宋_GB2312" w:cs="仿宋_GB2312" w:eastAsia="仿宋_GB2312"/>
                <w:sz w:val="21"/>
              </w:rPr>
              <w:t>≥</w:t>
            </w:r>
            <w:r>
              <w:rPr>
                <w:rFonts w:ascii="仿宋_GB2312" w:hAnsi="仿宋_GB2312" w:cs="仿宋_GB2312" w:eastAsia="仿宋_GB2312"/>
                <w:sz w:val="22"/>
              </w:rPr>
              <w:t>4个千兆电口，</w:t>
            </w:r>
            <w:r>
              <w:rPr>
                <w:rFonts w:ascii="仿宋_GB2312" w:hAnsi="仿宋_GB2312" w:cs="仿宋_GB2312" w:eastAsia="仿宋_GB2312"/>
                <w:sz w:val="21"/>
              </w:rPr>
              <w:t>≥</w:t>
            </w:r>
            <w:r>
              <w:rPr>
                <w:rFonts w:ascii="仿宋_GB2312" w:hAnsi="仿宋_GB2312" w:cs="仿宋_GB2312" w:eastAsia="仿宋_GB2312"/>
                <w:sz w:val="22"/>
              </w:rPr>
              <w:t>1*VGA，</w:t>
            </w:r>
            <w:r>
              <w:rPr>
                <w:rFonts w:ascii="仿宋_GB2312" w:hAnsi="仿宋_GB2312" w:cs="仿宋_GB2312" w:eastAsia="仿宋_GB2312"/>
                <w:sz w:val="21"/>
              </w:rPr>
              <w:t>≥</w:t>
            </w:r>
            <w:r>
              <w:rPr>
                <w:rFonts w:ascii="仿宋_GB2312" w:hAnsi="仿宋_GB2312" w:cs="仿宋_GB2312" w:eastAsia="仿宋_GB2312"/>
                <w:sz w:val="22"/>
              </w:rPr>
              <w:t>1* HDMI，</w:t>
            </w:r>
            <w:r>
              <w:rPr>
                <w:rFonts w:ascii="仿宋_GB2312" w:hAnsi="仿宋_GB2312" w:cs="仿宋_GB2312" w:eastAsia="仿宋_GB2312"/>
                <w:sz w:val="21"/>
              </w:rPr>
              <w:t>≥</w:t>
            </w:r>
            <w:r>
              <w:rPr>
                <w:rFonts w:ascii="仿宋_GB2312" w:hAnsi="仿宋_GB2312" w:cs="仿宋_GB2312" w:eastAsia="仿宋_GB2312"/>
                <w:sz w:val="22"/>
              </w:rPr>
              <w:t>4*USB3.0，</w:t>
            </w:r>
            <w:r>
              <w:rPr>
                <w:rFonts w:ascii="仿宋_GB2312" w:hAnsi="仿宋_GB2312" w:cs="仿宋_GB2312" w:eastAsia="仿宋_GB2312"/>
                <w:sz w:val="21"/>
              </w:rPr>
              <w:t>≥</w:t>
            </w:r>
            <w:r>
              <w:rPr>
                <w:rFonts w:ascii="仿宋_GB2312" w:hAnsi="仿宋_GB2312" w:cs="仿宋_GB2312" w:eastAsia="仿宋_GB2312"/>
                <w:sz w:val="22"/>
              </w:rPr>
              <w:t>1*IPMI接口，</w:t>
            </w:r>
            <w:r>
              <w:rPr>
                <w:rFonts w:ascii="仿宋_GB2312" w:hAnsi="仿宋_GB2312" w:cs="仿宋_GB2312" w:eastAsia="仿宋_GB2312"/>
                <w:sz w:val="21"/>
              </w:rPr>
              <w:t>≥</w:t>
            </w:r>
            <w:r>
              <w:rPr>
                <w:rFonts w:ascii="仿宋_GB2312" w:hAnsi="仿宋_GB2312" w:cs="仿宋_GB2312" w:eastAsia="仿宋_GB2312"/>
                <w:sz w:val="22"/>
              </w:rPr>
              <w:t>1*COM口；硬盘≥1*4T，含50个终端授权数;包含终端的基础安全管理、外设管控、违规外联检测、补丁管理、防病毒、水印功能、移动存储介质管控、数据防泄漏等功能。</w:t>
            </w:r>
            <w:r>
              <w:br/>
            </w:r>
            <w:r>
              <w:rPr>
                <w:rFonts w:ascii="仿宋_GB2312" w:hAnsi="仿宋_GB2312" w:cs="仿宋_GB2312" w:eastAsia="仿宋_GB2312"/>
                <w:sz w:val="22"/>
              </w:rPr>
              <w:t>2、支持指定进程黑、白、红名单，支持通过三种控制状态（禁止、必须、允许）确保终端对指定的软件进程进行控制；支持进程执行询问功能，用户可选择是否运行进程，并能对违规进程选择进行断开网络、告警提示、或不处理等操作，并支持上报报警信息进行审计。</w:t>
            </w:r>
            <w:r>
              <w:br/>
            </w:r>
            <w:r>
              <w:rPr>
                <w:rFonts w:ascii="仿宋_GB2312" w:hAnsi="仿宋_GB2312" w:cs="仿宋_GB2312" w:eastAsia="仿宋_GB2312"/>
                <w:sz w:val="22"/>
              </w:rPr>
              <w:t>3、支持移动存储介质数据交换行为审计管理，审计记录包括文件的创建、复制、删除和重命名等操作，包括当前操作系统账号、计算机持有人、设备名称、计算机IP、时间、源文件路径、目的文件路径、磁盘类型磁盘标签信息及磁盘硬件信息等必要的信息。</w:t>
            </w:r>
            <w:r>
              <w:br/>
            </w:r>
            <w:r>
              <w:rPr>
                <w:rFonts w:ascii="仿宋_GB2312" w:hAnsi="仿宋_GB2312" w:cs="仿宋_GB2312" w:eastAsia="仿宋_GB2312"/>
                <w:sz w:val="22"/>
              </w:rPr>
              <w:t>4、支持桌面水印、屏幕水印、打印水印及软件水印四种功能，屏幕水印类型支持矢量水印、文字水印、二维码水印和图片水印:通过水印功能实现对数据的拍照录像截屏等方式的泄露手段进行追溯。</w:t>
            </w:r>
            <w:r>
              <w:br/>
            </w:r>
            <w:r>
              <w:rPr>
                <w:rFonts w:ascii="仿宋_GB2312" w:hAnsi="仿宋_GB2312" w:cs="仿宋_GB2312" w:eastAsia="仿宋_GB2312"/>
                <w:sz w:val="22"/>
              </w:rPr>
              <w:t>5、当外发时，识别包含敏感信息，记录敏感外发事件日志，事件内容包括:违规用户信息、敏感内容摘要日期与时间、命中规则、外发方式、外发人、外发部门、外发文件名称、外发文件最后修改时间、外发文件本地路径。</w:t>
            </w:r>
            <w:r>
              <w:br/>
            </w:r>
            <w:r>
              <w:rPr>
                <w:rFonts w:ascii="仿宋_GB2312" w:hAnsi="仿宋_GB2312" w:cs="仿宋_GB2312" w:eastAsia="仿宋_GB2312"/>
                <w:sz w:val="22"/>
              </w:rPr>
              <w:t>6、支持对网内WiFi进行管控，可通过策略禁止终端创建WiFi热点，禁止终端连接WiFi热点。</w:t>
            </w:r>
            <w:r>
              <w:br/>
            </w:r>
            <w:r>
              <w:rPr>
                <w:rFonts w:ascii="仿宋_GB2312" w:hAnsi="仿宋_GB2312" w:cs="仿宋_GB2312" w:eastAsia="仿宋_GB2312"/>
                <w:sz w:val="22"/>
              </w:rPr>
              <w:t>7、支持设置终端截图策略，支持禁止终端屏幕截图，用户违规截图，具有弹窗警告，警告内容可自定义；支持设置终端后台截图，策略支持按时间段、时间触发方式执行，支持对截图图像的质量、截图次数间隔时间进行设置，触发后台截图后，支持图像保存在本地或上传至服务器，设置图像保存时间，并对违规行为进行审计。</w:t>
            </w:r>
            <w:r>
              <w:br/>
            </w:r>
            <w:r>
              <w:rPr>
                <w:rFonts w:ascii="仿宋_GB2312" w:hAnsi="仿宋_GB2312" w:cs="仿宋_GB2312" w:eastAsia="仿宋_GB2312"/>
                <w:sz w:val="22"/>
              </w:rPr>
              <w:t>8、</w:t>
            </w:r>
            <w:r>
              <w:rPr>
                <w:rFonts w:ascii="仿宋_GB2312" w:hAnsi="仿宋_GB2312" w:cs="仿宋_GB2312" w:eastAsia="仿宋_GB2312"/>
                <w:sz w:val="22"/>
              </w:rPr>
              <w:t>三年以上（含）质保服务及五年以上（含）软件升级服务和授权</w:t>
            </w:r>
            <w:r>
              <w:rPr>
                <w:rFonts w:ascii="仿宋_GB2312" w:hAnsi="仿宋_GB2312" w:cs="仿宋_GB2312" w:eastAsia="仿宋_GB2312"/>
                <w:sz w:val="22"/>
              </w:rPr>
              <w:t>。</w:t>
            </w:r>
          </w:p>
        </w:tc>
        <w:tc>
          <w:tcPr>
            <w:tcW w:type="dxa" w:w="10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1批</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备注：</w:t>
      </w:r>
      <w:r>
        <w:rPr>
          <w:rFonts w:ascii="仿宋_GB2312" w:hAnsi="仿宋_GB2312" w:cs="仿宋_GB2312" w:eastAsia="仿宋_GB2312"/>
          <w:sz w:val="21"/>
        </w:rPr>
        <w:t>堡垒机</w:t>
      </w:r>
      <w:r>
        <w:rPr>
          <w:rFonts w:ascii="仿宋_GB2312" w:hAnsi="仿宋_GB2312" w:cs="仿宋_GB2312" w:eastAsia="仿宋_GB2312"/>
          <w:sz w:val="21"/>
        </w:rPr>
        <w:t>、</w:t>
      </w:r>
      <w:r>
        <w:rPr>
          <w:rFonts w:ascii="仿宋_GB2312" w:hAnsi="仿宋_GB2312" w:cs="仿宋_GB2312" w:eastAsia="仿宋_GB2312"/>
          <w:sz w:val="21"/>
        </w:rPr>
        <w:t>态势感知平台</w:t>
      </w:r>
      <w:r>
        <w:rPr>
          <w:rFonts w:ascii="仿宋_GB2312" w:hAnsi="仿宋_GB2312" w:cs="仿宋_GB2312" w:eastAsia="仿宋_GB2312"/>
          <w:sz w:val="21"/>
        </w:rPr>
        <w:t>等投标产品为列⼊《⽹络关键设备和⽹络安全专⽤产品⽬录》的⽹络关键设备和⽹络安全专⽤产品，应当按照《信息安全技术</w:t>
      </w:r>
      <w:r>
        <w:rPr>
          <w:rFonts w:ascii="仿宋_GB2312" w:hAnsi="仿宋_GB2312" w:cs="仿宋_GB2312" w:eastAsia="仿宋_GB2312"/>
          <w:sz w:val="21"/>
        </w:rPr>
        <w:t>⽹络安全专⽤产品安全技术要求》等相关国家标准的强制性要求，提供具备资格的机构安全认证合格或者安全检测符合要求的相关材料或提供在</w:t>
      </w:r>
      <w:r>
        <w:rPr>
          <w:rFonts w:ascii="仿宋_GB2312" w:hAnsi="仿宋_GB2312" w:cs="仿宋_GB2312" w:eastAsia="仿宋_GB2312"/>
          <w:sz w:val="21"/>
        </w:rPr>
        <w:t>“</w:t>
      </w:r>
      <w:r>
        <w:rPr>
          <w:rFonts w:ascii="仿宋_GB2312" w:hAnsi="仿宋_GB2312" w:cs="仿宋_GB2312" w:eastAsia="仿宋_GB2312"/>
          <w:sz w:val="21"/>
        </w:rPr>
        <w:t>网络关键设备和网络安全专用产品安全认证和安全检测结果</w:t>
      </w:r>
      <w:r>
        <w:rPr>
          <w:rFonts w:ascii="仿宋_GB2312" w:hAnsi="仿宋_GB2312" w:cs="仿宋_GB2312" w:eastAsia="仿宋_GB2312"/>
          <w:sz w:val="21"/>
        </w:rPr>
        <w:t>检索</w:t>
      </w:r>
      <w:r>
        <w:rPr>
          <w:rFonts w:ascii="仿宋_GB2312" w:hAnsi="仿宋_GB2312" w:cs="仿宋_GB2312" w:eastAsia="仿宋_GB2312"/>
          <w:sz w:val="21"/>
        </w:rPr>
        <w:t>”平台（https://www.cac.gov.cn/wa/netWorkCriticalEquipment.htm）的查询截图。</w:t>
      </w:r>
    </w:p>
    <w:p>
      <w:pPr>
        <w:pStyle w:val="null3"/>
        <w:jc w:val="both"/>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自合同签订之日起30日内</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货到安装，验收合格。</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1、期次1，说明：(1)初步验收:①设备及系统安装、调试结束后，采购人组织初验。 ②初步验收所发生的一切费用由成交供应商承担。 （2）竣工验收:初验完毕后，成交供应商须配合采购人完成相关网络、机房及信息化系统等保测评、密码测评与备案工作，首次测评通过后，成交供应商可申请竣工验收。竣工验收要求：①项目具备竣工验收条件，成交供应商按国家验收有关规定，向采购人提供完整竣工资料及竣工验收报告，包括技术文档、实施文档、用户使用和操作手册、采购合同等；②安装、调试、测试中出现的问题均已解决。 （3）验收费用：最终验收所发生的一切费用由成交供应商承担。</w:t>
            </w:r>
          </w:p>
          <w:p>
            <w:pPr>
              <w:pStyle w:val="null3"/>
            </w:pPr>
            <w:r>
              <w:rPr>
                <w:rFonts w:ascii="仿宋_GB2312" w:hAnsi="仿宋_GB2312" w:cs="仿宋_GB2312" w:eastAsia="仿宋_GB2312"/>
              </w:rPr>
              <w:t>2、期次2，说明：质保期内，成交供应商应随时配合采购人完成等保测评、密码测评、攻防演练等相关事项，本项目包内产品应满足三级等保测评要求，若不满足，成交供应商应进行升级或更换相应产品。</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1、初步验收合格后，成交供应商提交正式发票，采购人收到发票且财政资金下达后，达到付款条件起30日内，支付合同总金额的60.00%</w:t>
            </w:r>
          </w:p>
          <w:p>
            <w:pPr>
              <w:pStyle w:val="null3"/>
            </w:pPr>
            <w:r>
              <w:rPr>
                <w:rFonts w:ascii="仿宋_GB2312" w:hAnsi="仿宋_GB2312" w:cs="仿宋_GB2312" w:eastAsia="仿宋_GB2312"/>
              </w:rPr>
              <w:t>2、竣工验收合格后，成交供应商提供合同总价10%金额的保函（见索即付，保函期限至质保期结束之日），采购人收到成交供应商的正式发票和保函后，待财政资金下达后，达到付款条件起30日内，支付合同总金额的40.00%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b/>
        </w:rPr>
        <w:t>8、货物包装方式</w:t>
      </w:r>
    </w:p>
    <w:p>
      <w:pPr>
        <w:pStyle w:val="null3"/>
        <w:ind w:firstLine="400"/>
        <w:jc w:val="left"/>
      </w:pPr>
      <w:r>
        <w:rPr>
          <w:rFonts w:ascii="仿宋_GB2312" w:hAnsi="仿宋_GB2312" w:cs="仿宋_GB2312" w:eastAsia="仿宋_GB2312"/>
        </w:rPr>
        <w:t>1）包装：货物交货时应按国家有关标准要求进行包装。</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）方式：包装必须与运输方式相适应，包装方式的确定及包装费用均由成交人负责；由于不适当的包装而造成货物在运输过程中有任何损坏由成交人负责。</w:t>
      </w:r>
    </w:p>
    <w:p>
      <w:pPr>
        <w:pStyle w:val="null3"/>
        <w:ind w:firstLine="400"/>
        <w:jc w:val="left"/>
      </w:pPr>
      <w:r>
        <w:rPr>
          <w:rFonts w:ascii="仿宋_GB2312" w:hAnsi="仿宋_GB2312" w:cs="仿宋_GB2312" w:eastAsia="仿宋_GB2312"/>
        </w:rPr>
        <w:t>注：包装应足以承受整个过程中的运输、转运、装卸、储存等，充分考虑到运输途中的各种情况</w:t>
      </w:r>
      <w:r>
        <w:rPr>
          <w:rFonts w:ascii="仿宋_GB2312" w:hAnsi="仿宋_GB2312" w:cs="仿宋_GB2312" w:eastAsia="仿宋_GB2312"/>
        </w:rPr>
        <w:t>(如暴露于恶劣气候等)和项目所在地的气候特点，以及露天存放的需要。</w:t>
      </w:r>
    </w:p>
    <w:p>
      <w:pPr>
        <w:pStyle w:val="null3"/>
        <w:ind w:firstLine="402"/>
        <w:jc w:val="left"/>
      </w:pPr>
      <w:r>
        <w:rPr>
          <w:rFonts w:ascii="仿宋_GB2312" w:hAnsi="仿宋_GB2312" w:cs="仿宋_GB2312" w:eastAsia="仿宋_GB2312"/>
          <w:b/>
        </w:rPr>
        <w:t>9</w:t>
      </w:r>
      <w:r>
        <w:rPr>
          <w:rFonts w:ascii="仿宋_GB2312" w:hAnsi="仿宋_GB2312" w:cs="仿宋_GB2312" w:eastAsia="仿宋_GB2312"/>
          <w:b/>
        </w:rPr>
        <w:t>、</w:t>
      </w:r>
      <w:r>
        <w:rPr>
          <w:rFonts w:ascii="仿宋_GB2312" w:hAnsi="仿宋_GB2312" w:cs="仿宋_GB2312" w:eastAsia="仿宋_GB2312"/>
          <w:b/>
        </w:rPr>
        <w:t>与本批招标服务项目的相关要求</w:t>
      </w:r>
    </w:p>
    <w:p>
      <w:pPr>
        <w:pStyle w:val="null3"/>
        <w:ind w:firstLine="400"/>
        <w:jc w:val="left"/>
      </w:pPr>
      <w:r>
        <w:rPr>
          <w:rFonts w:ascii="仿宋_GB2312" w:hAnsi="仿宋_GB2312" w:cs="仿宋_GB2312" w:eastAsia="仿宋_GB2312"/>
        </w:rPr>
        <w:t>1）成交供应商提供的设备及材料等，应保证这些设备及材料等手续的合法性，在交货、安装或验收时成交供应商应提供所有设备及材料的全部合法证明材料（如：产品合格证、许可证、安全认证证书、检验报告、产地证明、装箱单以及技术参数说明等资料）。</w:t>
      </w:r>
    </w:p>
    <w:p>
      <w:pPr>
        <w:pStyle w:val="null3"/>
        <w:ind w:firstLine="400"/>
        <w:jc w:val="left"/>
      </w:pPr>
      <w:r>
        <w:rPr>
          <w:rFonts w:ascii="仿宋_GB2312" w:hAnsi="仿宋_GB2312" w:cs="仿宋_GB2312" w:eastAsia="仿宋_GB2312"/>
        </w:rPr>
        <w:t>2）成交供应商在安装前应派人员进行实地勘查，提供设计安装调试方案，确保有关线路设计合理，运行可靠，维护方便。</w:t>
      </w:r>
    </w:p>
    <w:p>
      <w:pPr>
        <w:pStyle w:val="null3"/>
        <w:ind w:firstLine="400"/>
        <w:jc w:val="left"/>
      </w:pPr>
      <w:r>
        <w:rPr>
          <w:rFonts w:ascii="仿宋_GB2312" w:hAnsi="仿宋_GB2312" w:cs="仿宋_GB2312" w:eastAsia="仿宋_GB2312"/>
        </w:rPr>
        <w:t>3）合同签订前，若采购人要求对成交供应商提供相关产品检验检测报告，供应商须无条件配合并在采购人要求的时间内提供</w:t>
      </w:r>
      <w:r>
        <w:rPr>
          <w:rFonts w:ascii="仿宋_GB2312" w:hAnsi="仿宋_GB2312" w:cs="仿宋_GB2312" w:eastAsia="仿宋_GB2312"/>
        </w:rPr>
        <w:t>，否则采购人有权不予签订合同，且不承担违约等法律责任</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4）在招标过程中，采购人如发现供应商在投标时提供假公章及虚假证明材料（如假营业执照、假资质证书、虚假检测报告、虚假业绩材料及虚假各类证书）骗取中标的，或者不正当竞争行为的，采购人将上报监管部门，取消其投标资格并没收其投标保证金。若成交结果确定后，发现成交供应商提供虚假材料（如假营业执照、假资质证书、虚假检测报告、虚假业绩材料及虚假各类证书）骗取中标的，或者不正当竞争行为的，采购人将上报监管部门，取消其中标资格并没收投标保证金，且若已经签订合同的采购人有权解除合同，给采购人造成的损失的，还应当予以赔偿，导致采购人重新招标的，赔偿金额为本次招标和采购人重新招标的全部费用及工期延误损失。</w:t>
      </w:r>
    </w:p>
    <w:p>
      <w:pPr>
        <w:pStyle w:val="null3"/>
        <w:ind w:firstLine="402"/>
        <w:jc w:val="left"/>
      </w:pPr>
      <w:r>
        <w:rPr>
          <w:rFonts w:ascii="仿宋_GB2312" w:hAnsi="仿宋_GB2312" w:cs="仿宋_GB2312" w:eastAsia="仿宋_GB2312"/>
          <w:b/>
        </w:rPr>
        <w:t>10、售后服务要求</w:t>
      </w:r>
    </w:p>
    <w:p>
      <w:pPr>
        <w:pStyle w:val="null3"/>
        <w:ind w:firstLine="400"/>
        <w:jc w:val="left"/>
      </w:pPr>
      <w:r>
        <w:rPr>
          <w:rFonts w:ascii="仿宋_GB2312" w:hAnsi="仿宋_GB2312" w:cs="仿宋_GB2312" w:eastAsia="仿宋_GB2312"/>
        </w:rPr>
        <w:t>1） 所有货物均要求在</w:t>
      </w:r>
      <w:r>
        <w:rPr>
          <w:rFonts w:ascii="仿宋_GB2312" w:hAnsi="仿宋_GB2312" w:cs="仿宋_GB2312" w:eastAsia="仿宋_GB2312"/>
        </w:rPr>
        <w:t>竣工</w:t>
      </w:r>
      <w:r>
        <w:rPr>
          <w:rFonts w:ascii="仿宋_GB2312" w:hAnsi="仿宋_GB2312" w:cs="仿宋_GB2312" w:eastAsia="仿宋_GB2312"/>
        </w:rPr>
        <w:t>验收合格之日起质保期</w:t>
      </w:r>
      <w:r>
        <w:rPr>
          <w:rFonts w:ascii="仿宋_GB2312" w:hAnsi="仿宋_GB2312" w:cs="仿宋_GB2312" w:eastAsia="仿宋_GB2312"/>
        </w:rPr>
        <w:t>3年。在质保期内出现故障，成交供应商应提供咨询、更换损坏的零件和维修服务，包括设备故障维修、系统版本升级、特征库升级、应急响应支持等。质保期内维修人员接到需要到达现场的维修通知后响应时间：到达现场响应时间不得超过6小时，最终维修响应时间不得超过12小时。</w:t>
      </w:r>
    </w:p>
    <w:p>
      <w:pPr>
        <w:pStyle w:val="null3"/>
        <w:ind w:firstLine="400"/>
        <w:jc w:val="left"/>
      </w:pPr>
      <w:r>
        <w:rPr>
          <w:rFonts w:ascii="仿宋_GB2312" w:hAnsi="仿宋_GB2312" w:cs="仿宋_GB2312" w:eastAsia="仿宋_GB2312"/>
        </w:rPr>
        <w:t>2）质保期内承诺：质保期期内，非因采购人人为原因而出现产品质量及安装问题，由供应商负责保修，因此产生的一切费用由供应商承担。期间对设备产品进行定期维护和保养，并提供维修所需的配件及服务。维修好后三个月内，承诺对该更换部件再次发生同样的故障并且是需要更换同样的零配件的情况，供应商承诺维修及更换零配件。保修期后的维修及配件提供优惠价格。</w:t>
      </w:r>
    </w:p>
    <w:p>
      <w:pPr>
        <w:pStyle w:val="null3"/>
        <w:ind w:firstLine="400"/>
        <w:jc w:val="left"/>
      </w:pPr>
      <w:r>
        <w:rPr>
          <w:rFonts w:ascii="仿宋_GB2312" w:hAnsi="仿宋_GB2312" w:cs="仿宋_GB2312" w:eastAsia="仿宋_GB2312"/>
        </w:rPr>
        <w:t>3） 验收不合格的产品，采购人可以要求成交供应商无条件更换或退货，并赔偿由此造成采购人的损失。</w:t>
      </w:r>
    </w:p>
    <w:p>
      <w:pPr>
        <w:pStyle w:val="null3"/>
        <w:ind w:firstLine="400"/>
        <w:jc w:val="left"/>
      </w:pPr>
      <w:r>
        <w:rPr>
          <w:rFonts w:ascii="仿宋_GB2312" w:hAnsi="仿宋_GB2312" w:cs="仿宋_GB2312" w:eastAsia="仿宋_GB2312"/>
        </w:rPr>
        <w:t>4）质保期内成交供应商承担所有因系统质量问题而产生的费用。</w:t>
      </w:r>
    </w:p>
    <w:p>
      <w:pPr>
        <w:pStyle w:val="null3"/>
        <w:ind w:firstLine="400"/>
        <w:jc w:val="left"/>
      </w:pPr>
      <w:r>
        <w:rPr>
          <w:rFonts w:ascii="仿宋_GB2312" w:hAnsi="仿宋_GB2312" w:cs="仿宋_GB2312" w:eastAsia="仿宋_GB2312"/>
        </w:rPr>
        <w:t>5）成交供应商应提供相关技术资料，如维护手册、操作手册、硬件技术资料等，成交供应商应为买方的使用人员进行有关货物的维护、操作、保养等方面培训，直至能熟练独立操作。</w:t>
      </w:r>
    </w:p>
    <w:p>
      <w:pPr>
        <w:pStyle w:val="null3"/>
        <w:ind w:firstLine="400"/>
        <w:jc w:val="left"/>
      </w:pPr>
      <w:r>
        <w:rPr>
          <w:rFonts w:ascii="仿宋_GB2312" w:hAnsi="仿宋_GB2312" w:cs="仿宋_GB2312" w:eastAsia="仿宋_GB2312"/>
        </w:rPr>
        <w:t>6）成交供应商应按正规销售渠道供货，保证采购人能享受原厂或原厂认可的售后维修机构的售后服务。供应商所提供的服务应符合国家相关法律法规。供应商提供的产品中如有配套使用的相关软件，必须是正版的、合法的。</w:t>
      </w:r>
    </w:p>
    <w:p>
      <w:pPr>
        <w:pStyle w:val="null3"/>
        <w:ind w:firstLine="402"/>
        <w:jc w:val="left"/>
      </w:pPr>
      <w:r>
        <w:rPr>
          <w:rFonts w:ascii="仿宋_GB2312" w:hAnsi="仿宋_GB2312" w:cs="仿宋_GB2312" w:eastAsia="仿宋_GB2312"/>
          <w:b/>
        </w:rPr>
        <w:t>11、运维要求</w:t>
      </w:r>
    </w:p>
    <w:p>
      <w:pPr>
        <w:pStyle w:val="null3"/>
        <w:ind w:firstLine="400"/>
        <w:jc w:val="left"/>
      </w:pPr>
      <w:r>
        <w:rPr>
          <w:rFonts w:ascii="仿宋_GB2312" w:hAnsi="仿宋_GB2312" w:cs="仿宋_GB2312" w:eastAsia="仿宋_GB2312"/>
        </w:rPr>
        <w:t>1）定期维护。定期（每周至少一次）上门更新维护，按三级网络安全等级保护要求开展配套系统、数据库（病毒库、特征库等）等的升级更新服务，包含且不限制于每周更新病毒库、特征库；</w:t>
      </w:r>
    </w:p>
    <w:p>
      <w:pPr>
        <w:pStyle w:val="null3"/>
        <w:ind w:firstLine="400"/>
        <w:jc w:val="left"/>
      </w:pPr>
      <w:r>
        <w:rPr>
          <w:rFonts w:ascii="仿宋_GB2312" w:hAnsi="仿宋_GB2312" w:cs="仿宋_GB2312" w:eastAsia="仿宋_GB2312"/>
        </w:rPr>
        <w:t>2）不定期系统维护。产品厂家若发布系统更新及安全补丁的，应及时升级维护。在护网行动及网络攻防演练中需提供技术保障，迅速在故障响应要求时限内修复问题。</w:t>
      </w:r>
    </w:p>
    <w:p>
      <w:pPr>
        <w:pStyle w:val="null3"/>
        <w:ind w:firstLine="400"/>
        <w:jc w:val="left"/>
      </w:pPr>
      <w:r>
        <w:rPr>
          <w:rFonts w:ascii="仿宋_GB2312" w:hAnsi="仿宋_GB2312" w:cs="仿宋_GB2312" w:eastAsia="仿宋_GB2312"/>
        </w:rPr>
        <w:t>3）电话支持服务。需提供技术支持电话，对于临时出现的使用、操作或其他简单问题，用户可联系服务项目师，进行故障申报或寻求问题的解决方案、操作方法及技术指导；</w:t>
      </w:r>
    </w:p>
    <w:p>
      <w:pPr>
        <w:pStyle w:val="null3"/>
        <w:ind w:firstLine="402"/>
        <w:jc w:val="left"/>
      </w:pPr>
      <w:r>
        <w:rPr>
          <w:rFonts w:ascii="仿宋_GB2312" w:hAnsi="仿宋_GB2312" w:cs="仿宋_GB2312" w:eastAsia="仿宋_GB2312"/>
          <w:b/>
        </w:rPr>
        <w:t>12、违约责任</w:t>
      </w:r>
    </w:p>
    <w:p>
      <w:pPr>
        <w:pStyle w:val="null3"/>
        <w:ind w:firstLine="400"/>
        <w:jc w:val="left"/>
      </w:pPr>
      <w:r>
        <w:rPr>
          <w:rFonts w:ascii="仿宋_GB2312" w:hAnsi="仿宋_GB2312" w:cs="仿宋_GB2312" w:eastAsia="仿宋_GB2312"/>
        </w:rPr>
        <w:t>1）未按期交货的违约责任：如果成交供应商未能按合同规定的时间按时交货，每逾期1天，成交供应商应按合同金额的</w:t>
      </w:r>
      <w:r>
        <w:rPr>
          <w:rFonts w:ascii="仿宋_GB2312" w:hAnsi="仿宋_GB2312" w:cs="仿宋_GB2312" w:eastAsia="仿宋_GB2312"/>
        </w:rPr>
        <w:t>万分之五</w:t>
      </w:r>
      <w:r>
        <w:rPr>
          <w:rFonts w:ascii="仿宋_GB2312" w:hAnsi="仿宋_GB2312" w:cs="仿宋_GB2312" w:eastAsia="仿宋_GB2312"/>
        </w:rPr>
        <w:t>向采购人支付逾期交货的违约金。若因此给采购人造成损失的，还应赔偿采购人所受的全部损失。</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质保期内，</w:t>
      </w:r>
      <w:r>
        <w:rPr>
          <w:rFonts w:ascii="仿宋_GB2312" w:hAnsi="仿宋_GB2312" w:cs="仿宋_GB2312" w:eastAsia="仿宋_GB2312"/>
        </w:rPr>
        <w:t>如果成交供应商未能按约定履行义务，每次成交供应商应向采购人支付</w:t>
      </w:r>
      <w:r>
        <w:rPr>
          <w:rFonts w:ascii="仿宋_GB2312" w:hAnsi="仿宋_GB2312" w:cs="仿宋_GB2312" w:eastAsia="仿宋_GB2312"/>
        </w:rPr>
        <w:t>1000元违约金。</w:t>
      </w:r>
      <w:r>
        <w:rPr>
          <w:rFonts w:ascii="仿宋_GB2312" w:hAnsi="仿宋_GB2312" w:cs="仿宋_GB2312" w:eastAsia="仿宋_GB2312"/>
        </w:rPr>
        <w:t>如果因成交供应商提供的商品导致等保测评、密码测评未通过的，成交供应商应向采购人支付上述缺陷商品中标价等额的违约金。</w:t>
      </w:r>
      <w:r>
        <w:rPr>
          <w:rFonts w:ascii="仿宋_GB2312" w:hAnsi="仿宋_GB2312" w:cs="仿宋_GB2312" w:eastAsia="仿宋_GB2312"/>
        </w:rPr>
        <w:t>若因此给采购人造成损失的，还应赔偿采购人所受的全部损失。</w:t>
      </w:r>
    </w:p>
    <w:p>
      <w:pPr>
        <w:pStyle w:val="null3"/>
        <w:ind w:firstLine="400"/>
        <w:jc w:val="left"/>
      </w:pPr>
      <w:r>
        <w:rPr>
          <w:rFonts w:ascii="仿宋_GB2312" w:hAnsi="仿宋_GB2312" w:cs="仿宋_GB2312" w:eastAsia="仿宋_GB2312"/>
        </w:rPr>
        <w:t>3）因国家政策、财政预算调整、财政支出困难等因素造成的支付延迟，不视为采购人违约。</w:t>
      </w:r>
    </w:p>
    <w:p>
      <w:pPr>
        <w:pStyle w:val="null3"/>
        <w:ind w:firstLine="400"/>
        <w:jc w:val="left"/>
      </w:pPr>
      <w:r>
        <w:rPr>
          <w:rFonts w:ascii="仿宋_GB2312" w:hAnsi="仿宋_GB2312" w:cs="仿宋_GB2312" w:eastAsia="仿宋_GB2312"/>
        </w:rPr>
        <w:t>4）采购人和成交供应商双方同意若遇到重大政策性调整或采购单位上级要求，双方必须服从政策调整和上级要求需要履行合同，互不承担违约责任。</w:t>
      </w:r>
    </w:p>
    <w:p>
      <w:pPr>
        <w:pStyle w:val="null3"/>
        <w:ind w:firstLine="400"/>
        <w:jc w:val="left"/>
      </w:pPr>
      <w:r>
        <w:rPr>
          <w:rFonts w:ascii="仿宋_GB2312" w:hAnsi="仿宋_GB2312" w:cs="仿宋_GB2312" w:eastAsia="仿宋_GB2312"/>
        </w:rPr>
        <w:t>5）如果上级有新的改造方案，成交供应商应严格落实新的改造方案，并在接到通知后7个工作日内完成相应调整，否则应承担未按期交货的违约责任。</w:t>
      </w:r>
    </w:p>
    <w:p>
      <w:pPr>
        <w:pStyle w:val="null3"/>
        <w:ind w:firstLine="400"/>
        <w:jc w:val="left"/>
      </w:pPr>
      <w:r>
        <w:rPr>
          <w:rFonts w:ascii="仿宋_GB2312" w:hAnsi="仿宋_GB2312" w:cs="仿宋_GB2312" w:eastAsia="仿宋_GB2312"/>
        </w:rPr>
        <w:t>6）成交供应商严重失职（或因涉密）导致出现重大责任事故，或者向有关单位索贿、谋取利益等违规行为给采购人单位造成损失的，应根据国家有关法律法规追究成交供应商相关责任。且采购人有权解除合同，成交供应商应向采购人支付合同总价30%的违约金。</w:t>
      </w:r>
    </w:p>
    <w:p>
      <w:pPr>
        <w:pStyle w:val="null3"/>
        <w:ind w:firstLine="400"/>
        <w:jc w:val="left"/>
      </w:pPr>
      <w:r>
        <w:rPr>
          <w:rFonts w:ascii="仿宋_GB2312" w:hAnsi="仿宋_GB2312" w:cs="仿宋_GB2312" w:eastAsia="仿宋_GB2312"/>
        </w:rPr>
        <w:t>7）若成交供应商违反合同约定，擅自将本合同下的权利义务转让的，采购人有权解除合同，且成交供应商应按合同总金额的30%向采购人支付违约金。</w:t>
      </w:r>
    </w:p>
    <w:p>
      <w:pPr>
        <w:pStyle w:val="null3"/>
        <w:ind w:firstLine="400"/>
        <w:jc w:val="left"/>
      </w:pPr>
      <w:r>
        <w:rPr>
          <w:rFonts w:ascii="仿宋_GB2312" w:hAnsi="仿宋_GB2312" w:cs="仿宋_GB2312" w:eastAsia="仿宋_GB2312"/>
        </w:rPr>
        <w:t>8）采购人有权直接从合同金额、保函金额中抵扣上述违约金、赔偿金等费用。</w:t>
      </w:r>
    </w:p>
    <w:p>
      <w:pPr>
        <w:pStyle w:val="null3"/>
        <w:ind w:firstLine="402"/>
        <w:jc w:val="left"/>
      </w:pPr>
      <w:r>
        <w:rPr>
          <w:rFonts w:ascii="仿宋_GB2312" w:hAnsi="仿宋_GB2312" w:cs="仿宋_GB2312" w:eastAsia="仿宋_GB2312"/>
          <w:b/>
        </w:rPr>
        <w:t>13、违约终止合同</w:t>
      </w:r>
    </w:p>
    <w:p>
      <w:pPr>
        <w:pStyle w:val="null3"/>
        <w:ind w:firstLine="400"/>
        <w:jc w:val="left"/>
      </w:pPr>
      <w:r>
        <w:rPr>
          <w:rFonts w:ascii="仿宋_GB2312" w:hAnsi="仿宋_GB2312" w:cs="仿宋_GB2312" w:eastAsia="仿宋_GB2312"/>
        </w:rPr>
        <w:t>在补救违约而采取的任何其他措施未能实现的情况下，即在采购人发出的违约通知后</w:t>
      </w:r>
      <w:r>
        <w:rPr>
          <w:rFonts w:ascii="仿宋_GB2312" w:hAnsi="仿宋_GB2312" w:cs="仿宋_GB2312" w:eastAsia="仿宋_GB2312"/>
        </w:rPr>
        <w:t>30天内(或经采购人书面确认的更长时间内)仍未纠正其下述任何一种违约行为，采购人有权向成交供应商发出书面违约通知，采购人终止本合同，且成交供应商应按合同总金额的30%向采购人支付违约金：</w:t>
      </w:r>
    </w:p>
    <w:p>
      <w:pPr>
        <w:pStyle w:val="null3"/>
        <w:ind w:firstLine="400"/>
        <w:jc w:val="left"/>
      </w:pPr>
      <w:r>
        <w:rPr>
          <w:rFonts w:ascii="仿宋_GB2312" w:hAnsi="仿宋_GB2312" w:cs="仿宋_GB2312" w:eastAsia="仿宋_GB2312"/>
        </w:rPr>
        <w:t>1）如果成交供应商未能在合同规定的期限内或双方另行确定的延期交货时间内交付合同约定的货物。</w:t>
      </w:r>
    </w:p>
    <w:p>
      <w:pPr>
        <w:pStyle w:val="null3"/>
        <w:ind w:firstLine="400"/>
        <w:jc w:val="left"/>
      </w:pPr>
      <w:r>
        <w:rPr>
          <w:rFonts w:ascii="仿宋_GB2312" w:hAnsi="仿宋_GB2312" w:cs="仿宋_GB2312" w:eastAsia="仿宋_GB2312"/>
        </w:rPr>
        <w:t>2）成交供应商未能履行合同项下的任何其它义务。</w:t>
      </w:r>
    </w:p>
    <w:p>
      <w:pPr>
        <w:pStyle w:val="null3"/>
        <w:ind w:firstLine="402"/>
        <w:jc w:val="left"/>
      </w:pPr>
      <w:r>
        <w:rPr>
          <w:rFonts w:ascii="仿宋_GB2312" w:hAnsi="仿宋_GB2312" w:cs="仿宋_GB2312" w:eastAsia="仿宋_GB2312"/>
          <w:b/>
        </w:rPr>
        <w:t>14、要求事项:</w:t>
      </w:r>
    </w:p>
    <w:p>
      <w:pPr>
        <w:pStyle w:val="null3"/>
        <w:ind w:firstLine="400"/>
        <w:jc w:val="left"/>
      </w:pPr>
      <w:r>
        <w:rPr>
          <w:rFonts w:ascii="仿宋_GB2312" w:hAnsi="仿宋_GB2312" w:cs="仿宋_GB2312" w:eastAsia="仿宋_GB2312"/>
        </w:rPr>
        <w:t>因考虑本项目的特殊性，成交供应商在确认中标及领取中标通知书，并在签订合同时，需注意以下注意事项</w:t>
      </w:r>
      <w:r>
        <w:rPr>
          <w:rFonts w:ascii="仿宋_GB2312" w:hAnsi="仿宋_GB2312" w:cs="仿宋_GB2312" w:eastAsia="仿宋_GB2312"/>
        </w:rPr>
        <w:t>，若违反其一，则成交供应商应按合同总金额的</w:t>
      </w:r>
      <w:r>
        <w:rPr>
          <w:rFonts w:ascii="仿宋_GB2312" w:hAnsi="仿宋_GB2312" w:cs="仿宋_GB2312" w:eastAsia="仿宋_GB2312"/>
        </w:rPr>
        <w:t>10%向采购人支付违约金:</w:t>
      </w:r>
    </w:p>
    <w:p>
      <w:pPr>
        <w:pStyle w:val="null3"/>
        <w:ind w:firstLine="400"/>
        <w:jc w:val="left"/>
      </w:pPr>
      <w:r>
        <w:rPr>
          <w:rFonts w:ascii="仿宋_GB2312" w:hAnsi="仿宋_GB2312" w:cs="仿宋_GB2312" w:eastAsia="仿宋_GB2312"/>
        </w:rPr>
        <w:t>1）对于项目中如有涉及到的技术或工作秘密，包括在项目实施过程中可能接触到的各类国家秘密（各类纸质和电子的文件、资料、图纸等），不得向第三方泄露。</w:t>
      </w:r>
    </w:p>
    <w:p>
      <w:pPr>
        <w:pStyle w:val="null3"/>
        <w:ind w:firstLine="400"/>
        <w:jc w:val="left"/>
      </w:pPr>
      <w:r>
        <w:rPr>
          <w:rFonts w:ascii="仿宋_GB2312" w:hAnsi="仿宋_GB2312" w:cs="仿宋_GB2312" w:eastAsia="仿宋_GB2312"/>
        </w:rPr>
        <w:t>2）成交供应商参与项目服务的人员，需与采购人签订保密协议并报采购人备案，并应严格遵守保密规定，不得在采购人现场处理无关工作。</w:t>
      </w:r>
    </w:p>
    <w:p>
      <w:pPr>
        <w:pStyle w:val="null3"/>
        <w:ind w:firstLine="400"/>
        <w:jc w:val="left"/>
      </w:pPr>
      <w:r>
        <w:rPr>
          <w:rFonts w:ascii="仿宋_GB2312" w:hAnsi="仿宋_GB2312" w:cs="仿宋_GB2312" w:eastAsia="仿宋_GB2312"/>
        </w:rPr>
        <w:t>3）成交供应商不得在承接实施第三方的项目中，未经采购人同意使用采购人的资料、软件。</w:t>
      </w:r>
    </w:p>
    <w:p>
      <w:pPr>
        <w:pStyle w:val="null3"/>
        <w:ind w:firstLine="400"/>
        <w:jc w:val="left"/>
      </w:pPr>
      <w:r>
        <w:rPr>
          <w:rFonts w:ascii="仿宋_GB2312" w:hAnsi="仿宋_GB2312" w:cs="仿宋_GB2312" w:eastAsia="仿宋_GB2312"/>
        </w:rPr>
        <w:t>4）成交供应商在实施项目过程中使用的如采购人秘密的计算机信息系统（如有涉及到），不得直接或间接地与互联网或其它公共信息网络相联接，必须实行物理隔离。在项目实施、维护中提供安全管理措施的，应当妥善保管。</w:t>
      </w:r>
    </w:p>
    <w:p>
      <w:pPr>
        <w:pStyle w:val="null3"/>
        <w:ind w:firstLine="400"/>
        <w:jc w:val="left"/>
      </w:pPr>
      <w:r>
        <w:rPr>
          <w:rFonts w:ascii="仿宋_GB2312" w:hAnsi="仿宋_GB2312" w:cs="仿宋_GB2312" w:eastAsia="仿宋_GB2312"/>
        </w:rPr>
        <w:t>5）涉及采购人秘密的信息及存储介质（如有涉及到），未经采购人同意，成交供应商不得阅读、拷贝、处理、传递、严禁将涉密信息及存储介质带离采购人项目现场。</w:t>
      </w:r>
    </w:p>
    <w:p>
      <w:pPr>
        <w:pStyle w:val="null3"/>
        <w:ind w:firstLine="400"/>
        <w:jc w:val="left"/>
      </w:pPr>
      <w:r>
        <w:rPr>
          <w:rFonts w:ascii="仿宋_GB2312" w:hAnsi="仿宋_GB2312" w:cs="仿宋_GB2312" w:eastAsia="仿宋_GB2312"/>
        </w:rPr>
        <w:t>6）成交供应商在实施项目过程中使用电子函件进行网上信息交流时，应当遵守国家有关保密规定，不得利用电子函件传递、转发或抄送采购人保密信息。</w:t>
      </w:r>
    </w:p>
    <w:p>
      <w:pPr>
        <w:pStyle w:val="null3"/>
        <w:ind w:firstLine="400"/>
        <w:jc w:val="left"/>
      </w:pPr>
      <w:r>
        <w:rPr>
          <w:rFonts w:ascii="仿宋_GB2312" w:hAnsi="仿宋_GB2312" w:cs="仿宋_GB2312" w:eastAsia="仿宋_GB2312"/>
        </w:rPr>
        <w:t>7）成交供应商对采购人项目的工程资料应妥善保管，不得以任何理由和途径泄露给其他单位及个人。</w:t>
      </w:r>
    </w:p>
    <w:p>
      <w:pPr>
        <w:pStyle w:val="null3"/>
        <w:ind w:firstLine="400"/>
        <w:jc w:val="left"/>
      </w:pPr>
      <w:r>
        <w:rPr>
          <w:rFonts w:ascii="仿宋_GB2312" w:hAnsi="仿宋_GB2312" w:cs="仿宋_GB2312" w:eastAsia="仿宋_GB2312"/>
        </w:rPr>
        <w:t>8）成交供应商在实施项目过程中不得刺探或以其他不正当手段（包括利用计算机进行检索、浏览、复制等）获取与本业务项目无关的采购人关于该项目的信息材料。</w:t>
      </w:r>
    </w:p>
    <w:p>
      <w:pPr>
        <w:pStyle w:val="null3"/>
        <w:ind w:firstLine="400"/>
        <w:jc w:val="left"/>
      </w:pPr>
      <w:r>
        <w:rPr>
          <w:rFonts w:ascii="仿宋_GB2312" w:hAnsi="仿宋_GB2312" w:cs="仿宋_GB2312" w:eastAsia="仿宋_GB2312"/>
        </w:rPr>
        <w:t>9）本保密条款永久有效，不受协议终止或无效的影响。</w:t>
      </w:r>
    </w:p>
    <w:p>
      <w:pPr>
        <w:pStyle w:val="null3"/>
        <w:ind w:firstLine="402"/>
        <w:jc w:val="left"/>
      </w:pPr>
      <w:r>
        <w:rPr>
          <w:rFonts w:ascii="仿宋_GB2312" w:hAnsi="仿宋_GB2312" w:cs="仿宋_GB2312" w:eastAsia="仿宋_GB2312"/>
          <w:b/>
        </w:rPr>
        <w:t>15、知识产权</w:t>
      </w:r>
    </w:p>
    <w:p>
      <w:pPr>
        <w:pStyle w:val="null3"/>
        <w:ind w:firstLine="400"/>
        <w:jc w:val="left"/>
      </w:pPr>
      <w:r>
        <w:rPr>
          <w:rFonts w:ascii="仿宋_GB2312" w:hAnsi="仿宋_GB2312" w:cs="仿宋_GB2312" w:eastAsia="仿宋_GB2312"/>
        </w:rPr>
        <w:t>15.1供应商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供应商应赔偿该损失。</w:t>
      </w:r>
    </w:p>
    <w:p>
      <w:pPr>
        <w:pStyle w:val="null3"/>
        <w:ind w:firstLine="402"/>
        <w:jc w:val="left"/>
      </w:pPr>
      <w:r>
        <w:rPr>
          <w:rFonts w:ascii="仿宋_GB2312" w:hAnsi="仿宋_GB2312" w:cs="仿宋_GB2312" w:eastAsia="仿宋_GB2312"/>
          <w:b/>
        </w:rPr>
        <w:t>16、仲裁、诉讼条款</w:t>
      </w:r>
    </w:p>
    <w:p>
      <w:pPr>
        <w:pStyle w:val="null3"/>
        <w:ind w:firstLine="480"/>
        <w:jc w:val="both"/>
      </w:pPr>
      <w:r>
        <w:rPr>
          <w:rFonts w:ascii="仿宋_GB2312" w:hAnsi="仿宋_GB2312" w:cs="仿宋_GB2312" w:eastAsia="仿宋_GB2312"/>
          <w:sz w:val="21"/>
        </w:rPr>
        <w:t>16.1因采购或与采购合同有关的一切事项发生争议，由采购人和成交人双方友好协商解决。协商不成的，任何一方均可向采购人所在地人民法院提起诉讼。</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1.本项目不允许成交供应商以任何名义和理由进行转包，如有发现，采购人有权单方终止合同，视为成交供应商违约；成交供应商违约对采购人造成的损失的，需另行支付相应的赔偿。 2.本竞争性谈判文件未明确的其它约定事项或条款，待采购人与成交供应商签订合同时，由双方协商订立。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pPr>
      <w:r>
        <w:rPr>
          <w:rFonts w:ascii="仿宋_GB2312" w:hAnsi="仿宋_GB2312" w:cs="仿宋_GB2312" w:eastAsia="仿宋_GB2312"/>
        </w:rPr>
        <w:t>编制说明</w:t>
      </w:r>
    </w:p>
    <w:p>
      <w:pPr>
        <w:pStyle w:val="null3"/>
        <w:jc w:val="left"/>
      </w:pPr>
      <w:r>
        <w:rPr>
          <w:rFonts w:ascii="仿宋_GB2312" w:hAnsi="仿宋_GB2312" w:cs="仿宋_GB2312" w:eastAsia="仿宋_GB2312"/>
        </w:rPr>
        <w:t>1、签订合同应遵守《中华人民共和国政府采购法》、《中华人民共和国民法典》。</w:t>
      </w:r>
    </w:p>
    <w:p>
      <w:pPr>
        <w:pStyle w:val="null3"/>
        <w:jc w:val="left"/>
      </w:pPr>
      <w:r>
        <w:rPr>
          <w:rFonts w:ascii="仿宋_GB2312" w:hAnsi="仿宋_GB2312" w:cs="仿宋_GB2312" w:eastAsia="仿宋_GB2312"/>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rFonts w:ascii="仿宋_GB2312" w:hAnsi="仿宋_GB2312" w:cs="仿宋_GB2312" w:eastAsia="仿宋_GB2312"/>
        </w:rPr>
        <w:t>3.本章节所附的合同主要条款及格式为参考文本，如果因为项目实际特点不能适用，则可由甲乙双方在合同签订阶段可通过友好协商进行约定。</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both"/>
      </w:pPr>
      <w:r>
        <w:rPr>
          <w:rFonts w:ascii="仿宋_GB2312" w:hAnsi="仿宋_GB2312" w:cs="仿宋_GB2312" w:eastAsia="仿宋_GB2312"/>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福建省政府采购项目竞争性谈判</w:t>
      </w:r>
    </w:p>
    <w:p>
      <w:pPr>
        <w:pStyle w:val="null3"/>
        <w:jc w:val="center"/>
        <w:outlineLvl w:val="2"/>
      </w:pPr>
      <w:r>
        <w:rPr>
          <w:rFonts w:ascii="仿宋_GB2312" w:hAnsi="仿宋_GB2312" w:cs="仿宋_GB2312" w:eastAsia="仿宋_GB2312"/>
          <w:sz w:val="28"/>
          <w:b/>
        </w:rPr>
        <w:t>响应文件</w:t>
      </w:r>
    </w:p>
    <w:p>
      <w:pPr>
        <w:pStyle w:val="null3"/>
        <w:jc w:val="center"/>
        <w:outlineLvl w:val="2"/>
      </w:pPr>
      <w:r>
        <w:rPr>
          <w:rFonts w:ascii="仿宋_GB2312" w:hAnsi="仿宋_GB2312" w:cs="仿宋_GB2312" w:eastAsia="仿宋_GB2312"/>
          <w:sz w:val="28"/>
          <w:b/>
        </w:rPr>
        <w:t>（首次）</w:t>
      </w:r>
      <w:r>
        <w:br/>
      </w:r>
      <w:r>
        <w:br/>
      </w:r>
      <w:r>
        <w:br/>
      </w:r>
    </w:p>
    <w:p>
      <w:pPr>
        <w:pStyle w:val="null3"/>
        <w:jc w:val="center"/>
        <w:outlineLvl w:val="2"/>
      </w:pPr>
      <w:r>
        <w:rPr>
          <w:rFonts w:ascii="仿宋_GB2312" w:hAnsi="仿宋_GB2312" w:cs="仿宋_GB2312" w:eastAsia="仿宋_GB2312"/>
          <w:sz w:val="28"/>
          <w:b/>
        </w:rPr>
        <w:t>项目名称：</w:t>
      </w:r>
    </w:p>
    <w:p>
      <w:pPr>
        <w:pStyle w:val="null3"/>
        <w:jc w:val="center"/>
        <w:outlineLvl w:val="2"/>
      </w:pPr>
      <w:r>
        <w:rPr>
          <w:rFonts w:ascii="仿宋_GB2312" w:hAnsi="仿宋_GB2312" w:cs="仿宋_GB2312" w:eastAsia="仿宋_GB2312"/>
          <w:sz w:val="28"/>
          <w:b/>
        </w:rPr>
        <w:t>项目编号：</w:t>
      </w:r>
    </w:p>
    <w:p>
      <w:pPr>
        <w:pStyle w:val="null3"/>
        <w:jc w:val="center"/>
        <w:outlineLvl w:val="2"/>
      </w:pPr>
      <w:r>
        <w:rPr>
          <w:rFonts w:ascii="仿宋_GB2312" w:hAnsi="仿宋_GB2312" w:cs="仿宋_GB2312" w:eastAsia="仿宋_GB2312"/>
          <w:sz w:val="28"/>
          <w:b/>
        </w:rPr>
        <w:t>采购包:</w:t>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 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附件1：谈判响应声明</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附件4：谈判保证金凭证</w:t>
      </w:r>
    </w:p>
    <w:p>
      <w:pPr>
        <w:pStyle w:val="null3"/>
        <w:ind w:firstLine="480"/>
        <w:jc w:val="left"/>
      </w:pPr>
      <w:r>
        <w:rPr>
          <w:rFonts w:ascii="仿宋_GB2312" w:hAnsi="仿宋_GB2312" w:cs="仿宋_GB2312" w:eastAsia="仿宋_GB2312"/>
        </w:rPr>
        <w:t>附件5：技术、服务和商务响应表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附件7：供应商提交符合政府采购政策的证明材料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谈判响应声明</w:t>
      </w:r>
    </w:p>
    <w:p>
      <w:pPr>
        <w:pStyle w:val="null3"/>
        <w:ind w:firstLine="480"/>
        <w:jc w:val="left"/>
      </w:pPr>
      <w:r>
        <w:rPr>
          <w:rFonts w:ascii="仿宋_GB2312" w:hAnsi="仿宋_GB2312" w:cs="仿宋_GB2312" w:eastAsia="仿宋_GB2312"/>
        </w:rPr>
        <w:t>致：(采购人或采购代理机构)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rPr>
        <w:t xml:space="preserve"> 项目（项目编号）:</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rPr>
        <w:t>套，副本</w:t>
      </w:r>
      <w:r>
        <w:rPr>
          <w:rFonts w:ascii="仿宋_GB2312" w:hAnsi="仿宋_GB2312" w:cs="仿宋_GB2312" w:eastAsia="仿宋_GB2312"/>
        </w:rPr>
        <w:t>套及电子文档</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（1）谈判响应声明</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（4）谈判保证金凭证</w:t>
      </w:r>
    </w:p>
    <w:p>
      <w:pPr>
        <w:pStyle w:val="null3"/>
        <w:ind w:firstLine="480"/>
        <w:jc w:val="left"/>
      </w:pPr>
      <w:r>
        <w:rPr>
          <w:rFonts w:ascii="仿宋_GB2312" w:hAnsi="仿宋_GB2312" w:cs="仿宋_GB2312" w:eastAsia="仿宋_GB2312"/>
        </w:rPr>
        <w:t>（5）技术、服务和商务响应表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（7）供应商提交符合政府采购政策的证明材料</w:t>
      </w:r>
    </w:p>
    <w:p>
      <w:pPr>
        <w:pStyle w:val="null3"/>
        <w:ind w:firstLine="480"/>
        <w:jc w:val="left"/>
      </w:pPr>
      <w:r>
        <w:rPr>
          <w:rFonts w:ascii="仿宋_GB2312" w:hAnsi="仿宋_GB2312" w:cs="仿宋_GB2312" w:eastAsia="仿宋_GB2312"/>
        </w:rPr>
        <w:t>（8）按照谈判文件规定，要求作为响应文件组成部分的其他内容（若有）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rFonts w:ascii="仿宋_GB2312" w:hAnsi="仿宋_GB2312" w:cs="仿宋_GB2312" w:eastAsia="仿宋_GB2312"/>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2.5我方愿意向贵方提供任何与本项目谈判采购有关的数据或资料。若贵方需要，我方愿意提供我方作出的一切承诺的证明材料。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2.8我方承诺响应文件所提供的全部资料真实可靠，并接受谈判小组、采购人、采购代理机构、监管部门进一步审查其中任何资料真实性的要求。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rPr>
        <w:t xml:space="preserve"> 传真号：</w:t>
      </w:r>
    </w:p>
    <w:p>
      <w:pPr>
        <w:pStyle w:val="null3"/>
        <w:ind w:firstLine="480"/>
        <w:jc w:val="left"/>
      </w:pPr>
      <w:r>
        <w:rPr>
          <w:rFonts w:ascii="仿宋_GB2312" w:hAnsi="仿宋_GB2312" w:cs="仿宋_GB2312" w:eastAsia="仿宋_GB2312"/>
        </w:rPr>
        <w:t>联系电话（固定电话和移动电话）：</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供应商代表电子信箱：</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[350105]GYG[TP]2025001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执法办案管理中心三级等级安全保护设备采购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1(执法办案管理中心三级等级安全保护设备采购)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执法办案管理中心三级等级安全保护设备采购</w:t>
            </w:r>
          </w:p>
        </w:tc>
        <w:tc>
          <w:tcPr>
            <w:tcW w:type="dxa" w:w="1661"/>
          </w:tcPr>
          <w:p>
            <w:pPr>
              <w:pStyle w:val="null3"/>
              <w:jc w:val="left"/>
            </w:pPr>
            <w:r>
              <w:rPr>
                <w:rFonts w:ascii="仿宋_GB2312" w:hAnsi="仿宋_GB2312" w:cs="仿宋_GB2312" w:eastAsia="仿宋_GB2312"/>
              </w:rPr>
              <w:t xml:space="preserve"> 978225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[350105]GYG[TP]2025001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执法办案管理中心三级等级安全保护设备采购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执法办案管理中心三级等级安全保护设备采购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防火墙</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防火墙</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漏洞扫描</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漏洞扫描</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数据库审计</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数据库审计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69000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日志审计</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日志审计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堡垒机</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堡垒机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服务器病毒防护</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服务器病毒防护</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1225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态势感知平台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态势感知平台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166000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流量探针</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流量探针</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126000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准入系统</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总价</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准入系统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2"/>
      </w:pPr>
      <w:r>
        <w:rPr>
          <w:rFonts w:ascii="仿宋_GB2312" w:hAnsi="仿宋_GB2312" w:cs="仿宋_GB2312" w:eastAsia="仿宋_GB2312"/>
          <w:sz w:val="28"/>
          <w:b/>
        </w:rPr>
        <w:t xml:space="preserve">附件3-1 参加竞争性谈判的声明函 </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rPr>
          <w:rFonts w:ascii="仿宋_GB2312" w:hAnsi="仿宋_GB2312" w:cs="仿宋_GB2312" w:eastAsia="仿宋_GB2312"/>
          <w:u w:val="single"/>
        </w:rPr>
        <w:t xml:space="preserve">    </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谈判文件对合格供应商的一般规定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2、我方对上述声明的真实性、合法性、准确性、有效性负责，并愿意根据谈判文件和谈判过程中贵方要求提供全部现有资料、数据、文件等予以证实。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备注：对于接受联合体形式的谈判且供应商是联合体的，则联合体各成员都应当提交本资格证明文件。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 xml:space="preserve"> 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jc w:val="center"/>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jc w:val="center"/>
      </w:pPr>
      <w:r>
        <w:rPr>
          <w:rFonts w:ascii="仿宋_GB2312" w:hAnsi="仿宋_GB2312" w:cs="仿宋_GB2312" w:eastAsia="仿宋_GB2312"/>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rFonts w:ascii="仿宋_GB2312" w:hAnsi="仿宋_GB2312" w:cs="仿宋_GB2312" w:eastAsia="仿宋_GB2312"/>
        </w:rPr>
        <w:t>4、对于接受联合体形式的谈判且供应商是联合体的，则只需要联合体的牵头方提交本授权书，在纸质响应文件正本中的本授权书应为原件。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资格证明材料</w:t>
      </w:r>
    </w:p>
    <w:p>
      <w:pPr>
        <w:pStyle w:val="null3"/>
        <w:jc w:val="center"/>
        <w:outlineLvl w:val="2"/>
      </w:pPr>
      <w:r>
        <w:rPr>
          <w:rFonts w:ascii="仿宋_GB2312" w:hAnsi="仿宋_GB2312" w:cs="仿宋_GB2312" w:eastAsia="仿宋_GB2312"/>
          <w:sz w:val="28"/>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（）供应商提供谈判担保函的</w:t>
      </w:r>
    </w:p>
    <w:p>
      <w:pPr>
        <w:pStyle w:val="null3"/>
        <w:ind w:firstLine="480"/>
        <w:jc w:val="left"/>
      </w:pPr>
      <w:r>
        <w:rPr>
          <w:rFonts w:ascii="仿宋_GB2312" w:hAnsi="仿宋_GB2312" w:cs="仿宋_GB2312" w:eastAsia="仿宋_GB2312"/>
        </w:rPr>
        <w:t>现附上由财政部门认可的政府采购专业担保机构：</w:t>
      </w:r>
      <w:r>
        <w:rPr>
          <w:rFonts w:ascii="仿宋_GB2312" w:hAnsi="仿宋_GB2312" w:cs="仿宋_GB2312" w:eastAsia="仿宋_GB2312"/>
          <w:u w:val="single"/>
        </w:rPr>
        <w:t>（填写“担保机构全称”）</w:t>
      </w:r>
      <w:r>
        <w:rPr>
          <w:rFonts w:ascii="仿宋_GB2312" w:hAnsi="仿宋_GB2312" w:cs="仿宋_GB2312" w:eastAsia="仿宋_GB2312"/>
        </w:rPr>
        <w:t>出具的谈判担保函复印件，上述证明材料真实有效，否则我方负全部责任。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※无法按照本格式注意事项第2.1、2.2条规定提供财务报告复印件的供应商，应按照本格式注意事项的要求选择提供资信证明复印件或谈判担保函复印件。</w:t>
      </w:r>
    </w:p>
    <w:p>
      <w:pPr>
        <w:pStyle w:val="null3"/>
        <w:ind w:firstLine="480"/>
        <w:jc w:val="left"/>
      </w:pPr>
      <w:r>
        <w:rPr>
          <w:rFonts w:ascii="仿宋_GB2312" w:hAnsi="仿宋_GB2312" w:cs="仿宋_GB2312" w:eastAsia="仿宋_GB2312"/>
        </w:rPr>
        <w:t>3、供应商提供的相应证明材料复印件均应符合：内容完整、清晰、整洁，并由供应商加盖其单位公章。</w:t>
      </w:r>
    </w:p>
    <w:p>
      <w:pPr>
        <w:pStyle w:val="null3"/>
        <w:ind w:firstLine="480"/>
        <w:jc w:val="left"/>
      </w:pPr>
      <w:r>
        <w:rPr>
          <w:rFonts w:ascii="仿宋_GB2312" w:hAnsi="仿宋_GB2312" w:cs="仿宋_GB2312" w:eastAsia="仿宋_GB2312"/>
        </w:rPr>
        <w:t>5、对于接受联合体形式的谈判且供应商是联合体的，则联合体各成员都应当提交本资格证明文件。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 xml:space="preserve">现附上自 </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日至</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jc w:val="center"/>
        <w:outlineLvl w:val="1"/>
      </w:pPr>
      <w:r>
        <w:rPr>
          <w:rFonts w:ascii="仿宋_GB2312" w:hAnsi="仿宋_GB2312" w:cs="仿宋_GB2312" w:eastAsia="仿宋_GB2312"/>
          <w:sz w:val="36"/>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jc w:val="left"/>
      </w:pPr>
      <w:r>
        <w:rPr>
          <w:rFonts w:ascii="仿宋_GB2312" w:hAnsi="仿宋_GB2312" w:cs="仿宋_GB2312" w:eastAsia="仿宋_GB2312"/>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3.对于接受联合体形式的谈判且供应商是联合体的，则联合体各成员都应当提交本资格证明文件。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center"/>
        <w:outlineLvl w:val="2"/>
      </w:pPr>
      <w:r>
        <w:rPr>
          <w:rFonts w:ascii="仿宋_GB2312" w:hAnsi="仿宋_GB2312" w:cs="仿宋_GB2312" w:eastAsia="仿宋_GB2312"/>
          <w:sz w:val="28"/>
          <w:b/>
        </w:rPr>
        <w:t>附件3-5 信用记录查询结果</w:t>
      </w:r>
    </w:p>
    <w:p>
      <w:pPr>
        <w:pStyle w:val="null3"/>
        <w:ind w:firstLine="480"/>
        <w:jc w:val="left"/>
      </w:pPr>
      <w:r>
        <w:rPr>
          <w:rFonts w:ascii="仿宋_GB2312" w:hAnsi="仿宋_GB2312" w:cs="仿宋_GB2312" w:eastAsia="仿宋_GB2312"/>
        </w:rPr>
        <w:t>1、由谈判小组通过网站查询并打印供应商的信用记录。</w:t>
      </w:r>
    </w:p>
    <w:p>
      <w:pPr>
        <w:pStyle w:val="null3"/>
        <w:ind w:firstLine="480"/>
        <w:jc w:val="left"/>
      </w:pPr>
      <w:r>
        <w:rPr>
          <w:rFonts w:ascii="仿宋_GB2312" w:hAnsi="仿宋_GB2312" w:cs="仿宋_GB2312" w:eastAsia="仿宋_GB2312"/>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附件3-6 联合体协议</w:t>
      </w:r>
    </w:p>
    <w:p>
      <w:pPr>
        <w:pStyle w:val="null3"/>
        <w:jc w:val="center"/>
      </w:pPr>
      <w:r>
        <w:rPr>
          <w:rFonts w:ascii="仿宋_GB2312" w:hAnsi="仿宋_GB2312" w:cs="仿宋_GB2312" w:eastAsia="仿宋_GB2312"/>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自愿组成联合体，共同参加（填写</w:t>
      </w:r>
      <w:r>
        <w:rPr>
          <w:rFonts w:ascii="仿宋_GB2312" w:hAnsi="仿宋_GB2312" w:cs="仿宋_GB2312" w:eastAsia="仿宋_GB2312"/>
          <w:u w:val="single"/>
        </w:rPr>
        <w:t>(项目名称)</w:t>
      </w:r>
      <w:r>
        <w:rPr>
          <w:rFonts w:ascii="仿宋_GB2312" w:hAnsi="仿宋_GB2312" w:cs="仿宋_GB2312" w:eastAsia="仿宋_GB2312"/>
        </w:rPr>
        <w:t>项目（项目编号：</w:t>
      </w:r>
      <w:r>
        <w:rPr>
          <w:rFonts w:ascii="仿宋_GB2312" w:hAnsi="仿宋_GB2312" w:cs="仿宋_GB2312" w:eastAsia="仿宋_GB2312"/>
          <w:u w:val="single"/>
        </w:rPr>
        <w:t>（填写“项目编号”）</w:t>
      </w:r>
      <w:r>
        <w:rPr>
          <w:rFonts w:ascii="仿宋_GB2312" w:hAnsi="仿宋_GB2312" w:cs="仿宋_GB2312" w:eastAsia="仿宋_GB2312"/>
        </w:rPr>
        <w:t>）的响应。现就联合体参加本项目响应谈判的有关事宜达成下列协议：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1、牵头方单位名称：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w:t>
      </w:r>
      <w:r>
        <w:rPr>
          <w:rFonts w:ascii="仿宋_GB2312" w:hAnsi="仿宋_GB2312" w:cs="仿宋_GB2312" w:eastAsia="仿宋_GB2312"/>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2、联合体各方约定由（填写“牵头方的全称”）代表联合体办理谈判保证金事宜。</w:t>
      </w:r>
    </w:p>
    <w:p>
      <w:pPr>
        <w:pStyle w:val="null3"/>
        <w:ind w:firstLine="480"/>
        <w:jc w:val="left"/>
      </w:pPr>
      <w:r>
        <w:rPr>
          <w:rFonts w:ascii="仿宋_GB2312" w:hAnsi="仿宋_GB2312" w:cs="仿宋_GB2312" w:eastAsia="仿宋_GB2312"/>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份，联合体各方各执一份，响应文件中提交一份。</w:t>
      </w:r>
    </w:p>
    <w:p>
      <w:pPr>
        <w:pStyle w:val="null3"/>
        <w:ind w:firstLine="480"/>
        <w:jc w:val="left"/>
      </w:pPr>
      <w:r>
        <w:rPr>
          <w:rFonts w:ascii="仿宋_GB2312" w:hAnsi="仿宋_GB2312" w:cs="仿宋_GB2312" w:eastAsia="仿宋_GB2312"/>
        </w:rPr>
        <w:t>（以下无正文）</w:t>
      </w:r>
      <w:r>
        <w:br/>
      </w:r>
      <w:r>
        <w:br/>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1、若谈判文件规定接受联合体形式且供应商为联合体的，则供应商应提供本协议；否则无须提供。</w:t>
      </w:r>
    </w:p>
    <w:p>
      <w:pPr>
        <w:pStyle w:val="null3"/>
        <w:ind w:firstLine="480"/>
        <w:jc w:val="left"/>
      </w:pPr>
      <w:r>
        <w:rPr>
          <w:rFonts w:ascii="仿宋_GB2312" w:hAnsi="仿宋_GB2312" w:cs="仿宋_GB2312" w:eastAsia="仿宋_GB2312"/>
        </w:rPr>
        <w:t>2、本协议中的供应商代表如果不是竞争性谈判须知中定义的“单位负责人”，则还必须提供“单位负责人授权书”。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1.谈判文件接受合同分包且供应商拟将合同分包的，应提供本协议；否则无须提供。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附件3-8 其它资格证明文件</w:t>
      </w:r>
    </w:p>
    <w:p>
      <w:pPr>
        <w:pStyle w:val="null3"/>
        <w:jc w:val="center"/>
        <w:outlineLvl w:val="1"/>
      </w:pPr>
      <w:r>
        <w:rPr>
          <w:rFonts w:ascii="仿宋_GB2312" w:hAnsi="仿宋_GB2312" w:cs="仿宋_GB2312" w:eastAsia="仿宋_GB2312"/>
          <w:sz w:val="36"/>
          <w:b/>
        </w:rPr>
        <w:t>（若有）</w:t>
      </w:r>
    </w:p>
    <w:p>
      <w:pPr>
        <w:pStyle w:val="null3"/>
        <w:ind w:firstLine="480"/>
        <w:jc w:val="left"/>
      </w:pPr>
      <w:r>
        <w:rPr>
          <w:rFonts w:ascii="仿宋_GB2312" w:hAnsi="仿宋_GB2312" w:cs="仿宋_GB2312" w:eastAsia="仿宋_GB2312"/>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rFonts w:ascii="仿宋_GB2312" w:hAnsi="仿宋_GB2312" w:cs="仿宋_GB2312" w:eastAsia="仿宋_GB2312"/>
        </w:rPr>
        <w:t>2、若谈判文件规定接受联合体形式且供应商为联合体的，涉及联合体成员的其它资格证明文件在此处提供相关证明材料，并加盖供应商单位公章。</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谈判保证金凭证</w:t>
      </w:r>
    </w:p>
    <w:p>
      <w:pPr>
        <w:pStyle w:val="null3"/>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2、谈判保证金是否已提交按照谈判文件规定执行。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附件5：技术、服务和商务响应表</w:t>
      </w:r>
    </w:p>
    <w:p>
      <w:pPr>
        <w:pStyle w:val="null3"/>
        <w:jc w:val="center"/>
        <w:outlineLvl w:val="2"/>
      </w:pPr>
      <w:r>
        <w:rPr>
          <w:rFonts w:ascii="仿宋_GB2312" w:hAnsi="仿宋_GB2312" w:cs="仿宋_GB2312" w:eastAsia="仿宋_GB2312"/>
          <w:sz w:val="28"/>
          <w:b/>
        </w:rPr>
        <w:t>附件5-1：技术和服务要求响应表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 xml:space="preserve">附件5-2 商务条件和其它事项响应表 </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竞争性谈判文件规定的商务条件要求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2.如果没有特别要求的，供应商根据谈判文件的要求以及特点，提供相关技术、商务、服务响应承诺及资料，格式自拟。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2"/>
      </w:pPr>
      <w:r>
        <w:rPr>
          <w:rFonts w:ascii="仿宋_GB2312" w:hAnsi="仿宋_GB2312" w:cs="仿宋_GB2312" w:eastAsia="仿宋_GB2312"/>
          <w:sz w:val="28"/>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ind w:firstLine="480"/>
        <w:jc w:val="center"/>
      </w:pPr>
      <w:r>
        <w:rPr>
          <w:rFonts w:ascii="仿宋_GB2312" w:hAnsi="仿宋_GB2312" w:cs="仿宋_GB2312" w:eastAsia="仿宋_GB2312"/>
        </w:rPr>
        <w:t>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（不包括使用非残疾人福利性单位注册商标的货物）</w:t>
      </w:r>
      <w:r>
        <w:rPr>
          <w:rFonts w:ascii="仿宋_GB2312" w:hAnsi="仿宋_GB2312" w:cs="仿宋_GB2312" w:eastAsia="仿宋_GB2312"/>
        </w:rPr>
        <w:t>货物。（说明：只有部分货物由残疾人福利企业制造的，在该货物后标★）</w:t>
      </w:r>
    </w:p>
    <w:p>
      <w:pPr>
        <w:pStyle w:val="null3"/>
        <w:ind w:firstLine="480"/>
        <w:jc w:val="left"/>
      </w:pPr>
      <w:r>
        <w:rPr>
          <w:rFonts w:ascii="仿宋_GB2312" w:hAnsi="仿宋_GB2312" w:cs="仿宋_GB2312" w:eastAsia="仿宋_GB2312"/>
        </w:rPr>
        <w:t>（）由本供应商承建的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pPr>
      <w:r>
        <w:rPr>
          <w:rFonts w:ascii="仿宋_GB2312" w:hAnsi="仿宋_GB2312" w:cs="仿宋_GB2312" w:eastAsia="仿宋_GB2312"/>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rFonts w:ascii="仿宋_GB2312" w:hAnsi="仿宋_GB2312" w:cs="仿宋_GB2312" w:eastAsia="仿宋_GB2312"/>
        </w:rPr>
        <w:t>（2）请供应商按照实际情况编制填写本声明函，并在相应的（）中打“√”。</w:t>
      </w:r>
    </w:p>
    <w:p>
      <w:pPr>
        <w:pStyle w:val="null3"/>
        <w:jc w:val="center"/>
      </w:pPr>
      <w:r>
        <w:rPr>
          <w:rFonts w:ascii="仿宋_GB2312" w:hAnsi="仿宋_GB2312" w:cs="仿宋_GB2312" w:eastAsia="仿宋_GB2312"/>
        </w:rPr>
        <w:t>（3）纸质响应文件正本中的本声明函（若有）应为原件。</w:t>
      </w:r>
    </w:p>
    <w:p>
      <w:pPr>
        <w:pStyle w:val="null3"/>
        <w:jc w:val="center"/>
      </w:pPr>
      <w:r>
        <w:rPr>
          <w:rFonts w:ascii="仿宋_GB2312" w:hAnsi="仿宋_GB2312" w:cs="仿宋_GB2312" w:eastAsia="仿宋_GB2312"/>
        </w:rPr>
        <w:t>（4）若《残疾人福利性单位声明函》内容不真实，视为提供虚假材料。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附件7-1-3 监狱企业证明材料</w:t>
      </w: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附件7-2优先类节能产品、环境标志产品价格扣除证明材料（若有）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